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Титул"/>
      </w:pPr>
      <w:r>
        <w:t xml:space="preserve">МИНИСТЕРСТВО НАУКИ И ВЫСШЕГО ОБРАЗОВАНИЯ РОССИЙСКОЙ ФЕДЕРАЦИИ</w:t>
      </w:r>
    </w:p>
    <w:p>
      <w:pPr>
        <w:pStyle w:val="Титул"/>
      </w:pPr>
      <w:r>
        <w:t xml:space="preserve">РОССИЙСКИЙ ГОСУДАРСТВЕННЫЙ УНИВЕРСИТЕТ НЕФТИ И ГАЗА</w:t>
      </w:r>
      <w:r>
        <w:t xml:space="preserve"> </w:t>
      </w:r>
      <w:r>
        <w:t xml:space="preserve">(НАЦИОНАЛЬНЫЙ ИССЛЕДОВАТЕЛЬСКИЙ УНИВЕРСИТЕТ)</w:t>
      </w:r>
      <w:r>
        <w:t xml:space="preserve"> </w:t>
      </w:r>
      <w:r>
        <w:t xml:space="preserve">ИМЕНИ И.М. ГУБКИНА</w:t>
      </w:r>
    </w:p>
    <w:p>
      <w:pPr>
        <w:pStyle w:val="Титул"/>
      </w:pPr>
      <w:r>
        <w:t xml:space="preserve">Кафедра бурения нефтяных и газовых скважин</w:t>
      </w:r>
    </w:p>
    <w:p>
      <w:pPr>
        <w:pStyle w:val="ТитулОтступ"/>
      </w:pPr>
      <w:r>
        <w:t xml:space="preserve"> </w:t>
      </w:r>
    </w:p>
    <w:p>
      <w:pPr>
        <w:pStyle w:val="ТитулЗаголовок"/>
      </w:pPr>
      <w:r>
        <w:t xml:space="preserve">ДОМАШНЕЕ ЗАДАНИЕ № 1</w:t>
      </w:r>
    </w:p>
    <w:p>
      <w:pPr>
        <w:pStyle w:val="Титул"/>
      </w:pPr>
      <w:r>
        <w:t xml:space="preserve">по дисциплине «Технология бурения скважин»</w:t>
      </w:r>
    </w:p>
    <w:p>
      <w:pPr>
        <w:pStyle w:val="Титул"/>
      </w:pPr>
      <w:r>
        <w:t xml:space="preserve">«Проектирование конструкции скважины»</w:t>
      </w:r>
    </w:p>
    <w:p>
      <w:pPr>
        <w:pStyle w:val="Титул"/>
      </w:pPr>
      <w:r>
        <w:t xml:space="preserve">Вариант 2</w:t>
      </w:r>
    </w:p>
    <w:p>
      <w:pPr>
        <w:pStyle w:val="ТитулОтступ"/>
      </w:pPr>
      <w:r>
        <w:t xml:space="preserve"> </w:t>
      </w:r>
    </w:p>
    <w:p>
      <w:pPr>
        <w:pStyle w:val="ТитулПодписи"/>
      </w:pPr>
      <w:r>
        <w:t xml:space="preserve">Выполнил: студент гр. РТ‑23‑12</w:t>
      </w:r>
    </w:p>
    <w:p>
      <w:pPr>
        <w:pStyle w:val="ТитулПодписи"/>
      </w:pPr>
      <w:r>
        <w:rPr>
          <w:highlight w:val="yellow"/>
        </w:rPr>
        <w:t>Фамилия И.О.</w:t>
      </w:r>
    </w:p>
    <w:p>
      <w:pPr>
        <w:pStyle w:val="ТитулПодписи"/>
      </w:pPr>
      <w:r>
        <w:t xml:space="preserve"> </w:t>
      </w:r>
    </w:p>
    <w:p>
      <w:pPr>
        <w:pStyle w:val="ТитулПодписи"/>
      </w:pPr>
      <w:r>
        <w:t xml:space="preserve">Проверил: доцент, к.т.н.</w:t>
      </w:r>
    </w:p>
    <w:p>
      <w:pPr>
        <w:pStyle w:val="ТитулПодписи"/>
      </w:pPr>
      <w:r>
        <w:t xml:space="preserve">Балицкий В.П.</w:t>
      </w:r>
    </w:p>
    <w:p>
      <w:pPr>
        <w:pStyle w:val="ТитулОтступ"/>
      </w:pPr>
      <w:r>
        <w:t xml:space="preserve"> </w:t>
      </w:r>
    </w:p>
    <w:p>
      <w:pPr>
        <w:pStyle w:val="Титул"/>
      </w:pPr>
      <w:r>
        <w:t xml:space="preserve">Москва, 2026</w:t>
      </w:r>
    </w:p>
    <w:p>
      <w:r>
        <w:br w:type="page"/>
      </w:r>
    </w:p>
    <w:bookmarkStart w:id="20" w:name="исходные-данны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Исходные данные</w:t>
      </w:r>
    </w:p>
    <w:p>
      <w:pPr>
        <w:pStyle w:val="FirstParagraph"/>
      </w:pPr>
      <w:r>
        <w:t xml:space="preserve">Требуется спроектировать конструкцию газовой скважины глубиной 2400 м с эксплуатационной колонной диаметром 127,0 мм. До глубины 500 м разрез сложен неустойчивыми породами, склонными к поглощениям. Литология и давления приведены в таблице 1 (давления отнесены к подошве интервала).</w:t>
      </w:r>
    </w:p>
    <w:p>
      <w:pPr>
        <w:pStyle w:val="ПодписьТаблицы"/>
      </w:pPr>
      <w:r>
        <w:t xml:space="preserve">Таблица 1 – Геологический разрез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Интервал залегания, 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Порода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/>
                <w:b/>
                <w:sz w:val="24"/>
              </w:rPr>
              <w:t xml:space="preserve">, МПа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F</m:t>
                  </m:r>
                  <m:r>
                    <m:t>R</m:t>
                  </m:r>
                </m:sub>
              </m:sSub>
            </m:oMath>
            <w:r>
              <w:rPr>
                <w:rFonts w:ascii="Times New Roman" w:hAnsi="Times New Roman"/>
                <w:b/>
                <w:sz w:val="24"/>
              </w:rPr>
              <w:t xml:space="preserve">, МПа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0–900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пески и галечники, мергели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9,0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11,7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900–1100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алевролиты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8,8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15,4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1100–2100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известняк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27,3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33,6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2100–2400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песчаник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33,6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40,8</w:t>
            </w:r>
          </w:p>
        </w:tc>
      </w:tr>
    </w:tbl>
    <w:p>
      <w:pPr>
        <w:pStyle w:val="BodyText"/>
        <w:spacing w:before="160"/>
      </w:pPr>
      <w:r>
        <w:t xml:space="preserve">Расчёты выполнены в Excel (прилагаемый файл); ниже приведены расчётные зависимости, результаты и обоснование принятых решений.</w:t>
      </w:r>
    </w:p>
    <w:bookmarkEnd w:id="20"/>
    <w:bookmarkStart w:id="21" w:name="X546f7401573920e1acdfb4d561c02464a788436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Индексы давлений и плотность бурового раствора</w:t>
      </w:r>
    </w:p>
    <w:p>
      <w:pPr>
        <w:pStyle w:val="FirstParagraph"/>
      </w:pPr>
      <w:r>
        <w:t xml:space="preserve">Индексы пластового давления и давления поглощения: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r>
                <m:t>g</m:t>
              </m:r>
              <m:r>
                <m:t>z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F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F</m:t>
                  </m:r>
                  <m:r>
                    <m:t>R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r>
                <m:t>g</m:t>
              </m:r>
              <m:r>
                <m:t>z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  <m:r>
              <m:t>R</m:t>
            </m:r>
          </m:sub>
        </m:sSub>
      </m:oMath>
      <w:r>
        <w:t xml:space="preserve"> </w:t>
      </w:r>
      <w:r>
        <w:t xml:space="preserve">— пластовое давление и давление поглощения на глубине</w:t>
      </w:r>
      <w:r>
        <w:t xml:space="preserve"> </w:t>
      </w:r>
      <m:oMath>
        <m:r>
          <m:t>z</m:t>
        </m:r>
      </m:oMath>
      <w:r>
        <w:t xml:space="preserve">, Па;</w:t>
      </w:r>
      <w:r>
        <w:t xml:space="preserve"> </w:t>
      </w:r>
      <m:oMath>
        <m:sSub>
          <m:e>
            <m:r>
              <m:t>ρ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кг/м³;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nor/>
          </m:rPr>
          <m:t>9,81</m:t>
        </m:r>
      </m:oMath>
      <w:r>
        <w:t xml:space="preserve"> </w:t>
      </w:r>
      <w:r>
        <w:t xml:space="preserve">м/с².</w:t>
      </w:r>
    </w:p>
    <w:p>
      <w:pPr>
        <w:pStyle w:val="BodyText"/>
      </w:pPr>
      <w:r>
        <w:t xml:space="preserve">Относительная плотность бурового раствора выбирается с превышением гидростатического давления над пластовым не менее 10 % до глубины 1200 м и 5 % глубже [4, п. 2.7.3.3]: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S</m:t>
              </m:r>
            </m:sub>
          </m:sSub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nor/>
          </m:rPr>
          <m:t>1,1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z</m:t>
        </m:r>
        <m:r>
          <m:rPr>
            <m:sty m:val="p"/>
          </m:rPr>
          <m:t>≤</m:t>
        </m:r>
        <m:r>
          <m:t>1200</m:t>
        </m:r>
      </m:oMath>
      <w:r>
        <w:t xml:space="preserve"> </w:t>
      </w:r>
      <w:r>
        <w:t xml:space="preserve">м и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nor/>
          </m:rPr>
          <m:t>1,05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1200</m:t>
        </m:r>
      </m:oMath>
      <w:r>
        <w:t xml:space="preserve"> </w:t>
      </w:r>
      <w:r>
        <w:t xml:space="preserve">м. Плотность раствора</w:t>
      </w:r>
      <w:r>
        <w:t xml:space="preserve"> </w:t>
      </w:r>
      <m:oMath>
        <m:sSub>
          <m:e>
            <m:r>
              <m:t>ρ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R</m:t>
            </m:r>
          </m:sub>
        </m:sSub>
        <m:sSub>
          <m:e>
            <m:r>
              <m:t>ρ</m:t>
            </m:r>
          </m:e>
          <m:sub>
            <m:r>
              <m:t>w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Известняк (1100–2100 м) пересекает глубину 1200 м, поэтому для него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определена отдельно на участках 1100–1200 и 1200–2100 м. Расчёт для участка 1100–1200 м (</w:t>
      </w:r>
      <m:oMath>
        <m:r>
          <m:t>z</m:t>
        </m:r>
        <m:r>
          <m:rPr>
            <m:sty m:val="p"/>
          </m:rPr>
          <m:t>=</m:t>
        </m:r>
        <m:r>
          <m:t>2100</m:t>
        </m:r>
      </m:oMath>
      <w:r>
        <w:t xml:space="preserve"> </w:t>
      </w:r>
      <w:r>
        <w:t xml:space="preserve">м — подошва пласта):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27,3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1000</m:t>
              </m:r>
              <m:r>
                <m:rPr>
                  <m:sty m:val="p"/>
                </m:rPr>
                <m:t>⋅</m:t>
              </m:r>
              <m:r>
                <m:rPr>
                  <m:nor/>
                </m:rPr>
                <m:t>9,81</m:t>
              </m:r>
              <m:r>
                <m:rPr>
                  <m:sty m:val="p"/>
                </m:rPr>
                <m:t>⋅</m:t>
              </m:r>
              <m:r>
                <m:t>2100</m:t>
              </m:r>
            </m:den>
          </m:f>
          <m:r>
            <m:rPr>
              <m:sty m:val="p"/>
            </m:rPr>
            <m:t>=</m:t>
          </m:r>
          <m:r>
            <m:rPr>
              <m:nor/>
            </m:rPr>
            <m:t>1,325</m:t>
          </m:r>
          <m:r>
            <m:rPr>
              <m:sty m:val="p"/>
            </m:rPr>
            <m:t>;</m:t>
          </m:r>
          <m:r>
            <m:t> </m:t>
          </m:r>
          <m:sSub>
            <m:e>
              <m:r>
                <m:t>K</m:t>
              </m:r>
            </m:e>
            <m:sub>
              <m:r>
                <m:t>F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33,6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1000</m:t>
              </m:r>
              <m:r>
                <m:rPr>
                  <m:sty m:val="p"/>
                </m:rPr>
                <m:t>⋅</m:t>
              </m:r>
              <m:r>
                <m:rPr>
                  <m:nor/>
                </m:rPr>
                <m:t>9,81</m:t>
              </m:r>
              <m:r>
                <m:rPr>
                  <m:sty m:val="p"/>
                </m:rPr>
                <m:t>⋅</m:t>
              </m:r>
              <m:r>
                <m:t>2100</m:t>
              </m:r>
            </m:den>
          </m:f>
          <m:r>
            <m:rPr>
              <m:sty m:val="p"/>
            </m:rPr>
            <m:t>=</m:t>
          </m:r>
          <m:r>
            <m:rPr>
              <m:nor/>
            </m:rPr>
            <m:t>1,631</m:t>
          </m:r>
          <m:r>
            <m:rPr>
              <m:sty m:val="p"/>
            </m:rPr>
            <m:t>;</m:t>
          </m:r>
          <m:r>
            <m:t> </m:t>
          </m:r>
          <m:sSub>
            <m:e>
              <m:r>
                <m:t>ρ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nor/>
            </m:rPr>
            <m:t>1,1</m:t>
          </m:r>
          <m:r>
            <m:rPr>
              <m:sty m:val="p"/>
            </m:rPr>
            <m:t>⋅</m:t>
          </m:r>
          <m:r>
            <m:rPr>
              <m:nor/>
            </m:rPr>
            <m:t>1,325</m:t>
          </m:r>
          <m:r>
            <m:rPr>
              <m:sty m:val="p"/>
            </m:rPr>
            <m:t>=</m:t>
          </m:r>
          <m:r>
            <m:rPr>
              <m:nor/>
            </m:rPr>
            <m:t>1,458</m:t>
          </m:r>
          <m:r>
            <m:rPr>
              <m:sty m:val="p"/>
            </m:rPr>
            <m:t>.</m:t>
          </m:r>
        </m:oMath>
      </m:oMathPara>
    </w:p>
    <w:p>
      <w:pPr>
        <w:pStyle w:val="ПодписьТаблицы"/>
      </w:pPr>
      <w:r>
        <w:t xml:space="preserve">Таблица 2 – Индексы давлений и плотность бурового раствора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Интервал, 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Порода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ascii="Times New Roman" w:hAnsi="Times New Roman"/>
                <w:b/>
                <w:sz w:val="24"/>
              </w:rPr>
              <w:t xml:space="preserve">, кг/м³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0–900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пески и галечники, мергели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1,019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1,325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1,10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1,121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1121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900–1100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алевролиты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0,815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1,427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1,10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0,897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897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1100–1200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известняк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1,325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1,631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1,10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1,458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1458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1200–2100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известняк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1,325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1,631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1,05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1,391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1391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2100–2400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песчаник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1,427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1,733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1,498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1498</w:t>
            </w:r>
          </w:p>
        </w:tc>
      </w:tr>
    </w:tbl>
    <w:p>
      <w:pPr>
        <w:pStyle w:val="BodyText"/>
        <w:spacing w:before="160"/>
      </w:pPr>
      <w:r>
        <w:t xml:space="preserve">В интервале 900–1100 м пластовое давление ниже гидростатического (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nor/>
          </m:rPr>
          <m:t>0,816</m:t>
        </m:r>
      </m:oMath>
      <w:r>
        <w:t xml:space="preserve">), поэтому расчётная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; этот интервал бурится раствором вышележащих пород.</w:t>
      </w:r>
    </w:p>
    <w:bookmarkEnd w:id="21"/>
    <w:bookmarkStart w:id="25" w:name="совмещённый-график-давлений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Совмещённый график давлений</w:t>
      </w:r>
    </w:p>
    <w:p>
      <w:pPr>
        <w:pStyle w:val="FirstParagraph"/>
      </w:pPr>
      <w:r>
        <w:t xml:space="preserve">Совмещённый график давлений (рисунок 1) построен по данным таблицы 2. Закрашенная область между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  <m:r>
              <m:t>R</m:t>
            </m:r>
          </m:sub>
        </m:sSub>
      </m:oMath>
      <w:r>
        <w:t xml:space="preserve"> </w:t>
      </w:r>
      <w:r>
        <w:t xml:space="preserve">— диапазон допустимых плотностей раствора. Бурение интервалов одним открытым стволом возможно, если одна плотность раствора удовлетворяет условию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ρ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t>F</m:t>
              </m:r>
              <m:r>
                <m:t>R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</m:oMath>
      </m:oMathPara>
    </w:p>
    <w:p>
      <w:pPr>
        <w:pStyle w:val="FirstParagraph"/>
      </w:pPr>
      <w:r>
        <w:t xml:space="preserve">во всех вскрытых интервалах; в противном случае вышележащий интервал перекрывается обсадной колонной.</w:t>
      </w:r>
    </w:p>
    <w:p>
      <w:pPr>
        <w:pStyle w:val="BodyText"/>
        <w:keepNext/>
        <w:spacing w:line="240" w:lineRule="auto" w:before="120"/>
        <w:ind w:firstLine="0"/>
        <w:jc w:val="center"/>
      </w:pPr>
      <w:r>
        <w:drawing>
          <wp:inline>
            <wp:extent cx="5039999" cy="5543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рисунки/рис1_график_совмещенных_давлений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554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 xml:space="preserve">Рисунок 1 – Совмещённый график давлений</w:t>
      </w:r>
    </w:p>
    <w:p>
      <w:pPr>
        <w:pStyle w:val="BodyText"/>
      </w:pPr>
      <w:r>
        <w:t xml:space="preserve">Для интервала 1100–2400 м требуемая плотность определяется песчаником: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1,498</m:t>
        </m:r>
      </m:oMath>
      <w:r>
        <w:t xml:space="preserve">. Она больше индекса давления поглощения вышележащих пород (</w:t>
      </w:r>
      <m:oMath>
        <m:sSub>
          <m:e>
            <m:r>
              <m:t>K</m:t>
            </m:r>
          </m:e>
          <m:sub>
            <m:r>
              <m:t>F</m:t>
            </m:r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1,325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nor/>
          </m:rPr>
          <m:t>1,427</m:t>
        </m:r>
      </m:oMath>
      <w:r>
        <w:t xml:space="preserve">), а плотность, допустимая для интервала 0–1100 м (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1,121</m:t>
        </m:r>
      </m:oMath>
      <w:r>
        <w:t xml:space="preserve">), меньше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nor/>
          </m:rPr>
          <m:t>1,325</m:t>
        </m:r>
      </m:oMath>
      <w:r>
        <w:t xml:space="preserve"> </w:t>
      </w:r>
      <w:r>
        <w:t xml:space="preserve">известняка. Следовательно, условия бурения выше и ниже 1100 м несовместимы (таблица 3).</w:t>
      </w:r>
    </w:p>
    <w:p>
      <w:pPr>
        <w:pStyle w:val="ПодписьТаблицы"/>
      </w:pPr>
      <w:r>
        <w:t xml:space="preserve">Таблица 3 – Проверка совместимости условий бурения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18"/>
        <w:gridCol w:w="1352"/>
        <w:gridCol w:w="1352"/>
        <w:gridCol w:w="1352"/>
        <w:gridCol w:w="1545"/>
      </w:tblGrid>
      <w:tr>
        <w:trPr>
          <w:tblHeader w:val="true"/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Интервал открытого ствола, 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 xml:space="preserve">принятая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 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 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Вывод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0–2400 (без промежуточной колонны)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1,498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1,427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1,325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несовместимы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0–1100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1,121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1,019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1,325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совместимы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1100–2400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1,498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1,427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1,631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совместимы</w:t>
            </w:r>
          </w:p>
        </w:tc>
      </w:tr>
    </w:tbl>
    <w:bookmarkEnd w:id="25"/>
    <w:bookmarkStart w:id="33" w:name="конструкция-скважин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Конструкция скважины</w:t>
      </w:r>
    </w:p>
    <w:bookmarkStart w:id="26" w:name="число-и-глубины-спуска-обсадных-колонн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Число и глубины спуска обсадных колонн</w:t>
      </w:r>
    </w:p>
    <w:p>
      <w:pPr>
        <w:pStyle w:val="FirstParagraph"/>
      </w:pPr>
      <w:r>
        <w:t xml:space="preserve">Принята конструкция из трёх обсадных колонн: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кондуктор — 510 м</w:t>
      </w:r>
      <w:r>
        <w:t xml:space="preserve">: перекрывает неустойчивые породы, склонные к поглощениям (0–500 м); башмак устанавливается на 10 м ниже их подошвы;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промежуточная колонна — 1100 м</w:t>
      </w:r>
      <w:r>
        <w:t xml:space="preserve">: изолирует интервал 0–1100 м, несовместимый с нижележащими известняком и песчаником с аномально высоким пластовым давлением. Башмак — в подошве алевролитов; углубление в известняк раствором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1,121</m:t>
        </m:r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nor/>
          </m:rPr>
          <m:t>1,325</m:t>
        </m:r>
      </m:oMath>
      <w:r>
        <w:t xml:space="preserve"> </w:t>
      </w:r>
      <w:r>
        <w:t xml:space="preserve">вызвало бы газопроявление;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эксплуатационная колонна — 2400 м</w:t>
      </w:r>
      <w:r>
        <w:t xml:space="preserve"> </w:t>
      </w:r>
      <w:r>
        <w:t xml:space="preserve">(до проектной глубины), диаметр 127,0 мм задан.</w:t>
      </w:r>
    </w:p>
    <w:bookmarkEnd w:id="26"/>
    <w:bookmarkStart w:id="27" w:name="интервалы-цементирования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Интервалы цементирования</w:t>
      </w:r>
    </w:p>
    <w:p>
      <w:pPr>
        <w:pStyle w:val="FirstParagraph"/>
      </w:pPr>
      <w:r>
        <w:t xml:space="preserve">По Правилам безопасности [4, п. 2.7.4.10–2.7.4.11] кондуктор цементируется до устья, а в газовых скважинах тампонажный раствор поднимается не менее чем на 500 м над башмаком предыдущей колонны и кровлей продуктивного горизонта.</w:t>
      </w:r>
    </w:p>
    <w:p>
      <w:pPr>
        <w:pStyle w:val="ПодписьТаблицы"/>
      </w:pPr>
      <w:r>
        <w:t xml:space="preserve">Таблица 4 – Интервалы цементирования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Колонна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Башмак, 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Расчётная кровля цемента, 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Принятый интервал, 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Кондуктор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510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до устья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0–510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Промежуточная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1100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510 − 500 = 10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0–1100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Эксплуатационная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2400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1100 − 500 = 600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600–2400</w:t>
            </w:r>
          </w:p>
        </w:tc>
      </w:tr>
    </w:tbl>
    <w:p>
      <w:pPr>
        <w:pStyle w:val="BodyText"/>
        <w:spacing w:before="160"/>
      </w:pPr>
      <w:r>
        <w:t xml:space="preserve">Для промежуточной колонны расчётная кровля цемента (10 м) практически совпадает с устьем, поэтому колонна цементируется до устья. Цементное кольцо эксплуатационной колонны перекрывает продуктивный песчаник (2100–2400 м) с запасом 1500 м над его кровлей и известняк с АВПД; перекрытие с промежуточной колонной — 500 м.</w:t>
      </w:r>
    </w:p>
    <w:bookmarkEnd w:id="27"/>
    <w:bookmarkStart w:id="28" w:name="диаметры-обсадных-колонн-и-долот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Диаметры обсадных колонн и долот</w:t>
      </w:r>
    </w:p>
    <w:p>
      <w:pPr>
        <w:pStyle w:val="FirstParagraph"/>
      </w:pPr>
      <w:r>
        <w:t xml:space="preserve">Расчёт ведётся от эксплуатационной колонны вверх. Диаметр долота под колонну: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Δ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наружный диаметр муфты (трубы ОТТМ по ГОСТ 632-80 [2]);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 минимальный радиальный зазор [1]: 8 мм для колонн 114–127 мм, 13 мм — 168–245 мм, 18 мм — 273–299 мм. Принимается ближайшее долото по ГОСТ 20692-2003 [3], не меньшее расчётного. Предыдущая колонна должна пропускать это долото: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δ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мм — зазор между долотом и внутренней стенкой колонны (принят из диапазона 5–10 мм).</w:t>
      </w:r>
    </w:p>
    <w:p>
      <w:pPr>
        <w:pStyle w:val="BodyText"/>
      </w:pPr>
      <w:r>
        <w:t xml:space="preserve">Эксплуатационная колонна 127,0 мм (</w:t>
      </w:r>
      <m:oMath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nor/>
          </m:rPr>
          <m:t>141,3</m:t>
        </m:r>
      </m:oMath>
      <w:r>
        <w:t xml:space="preserve"> </w:t>
      </w:r>
      <w:r>
        <w:t xml:space="preserve">мм,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мм):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nor/>
          </m:rPr>
          <m:t>141,3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rPr>
            <m:nor/>
          </m:rPr>
          <m:t>157,3</m:t>
        </m:r>
      </m:oMath>
      <w:r>
        <w:t xml:space="preserve"> </w:t>
      </w:r>
      <w:r>
        <w:t xml:space="preserve">мм → долото</w:t>
      </w:r>
      <w:r>
        <w:t xml:space="preserve"> </w:t>
      </w:r>
      <w:r>
        <w:rPr>
          <w:bCs/>
          <w:b/>
        </w:rPr>
        <w:t xml:space="preserve">161,0 мм</w:t>
      </w:r>
      <w:r>
        <w:t xml:space="preserve">.</w:t>
      </w:r>
    </w:p>
    <w:p>
      <w:pPr>
        <w:pStyle w:val="BodyText"/>
      </w:pPr>
      <w:r>
        <w:t xml:space="preserve">Промежуточная колонна: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rPr>
            <m:nor/>
          </m:rPr>
          <m:t>161,0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rPr>
            <m:nor/>
          </m:rPr>
          <m:t>171,0</m:t>
        </m:r>
      </m:oMath>
      <w:r>
        <w:t xml:space="preserve"> </w:t>
      </w:r>
      <w:r>
        <w:t xml:space="preserve">мм. Колонны 168,3 и 177,8 мм не подходят (наибольший внутренний диаметр 153,7 и 164,0 мм). Принята колонна 193,7 мм, допустимая толщина стенки 7,6…10,9 мм; предварительно принята 10,9 мм (d = 171,9 мм), окончательно — по расчёту на прочность.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nor/>
          </m:rPr>
          <m:t>215,9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13</m:t>
        </m:r>
        <m:r>
          <m:rPr>
            <m:sty m:val="p"/>
          </m:rPr>
          <m:t>=</m:t>
        </m:r>
        <m:r>
          <m:rPr>
            <m:nor/>
          </m:rPr>
          <m:t>241,9</m:t>
        </m:r>
      </m:oMath>
      <w:r>
        <w:t xml:space="preserve"> </w:t>
      </w:r>
      <w:r>
        <w:t xml:space="preserve">мм → долото</w:t>
      </w:r>
      <w:r>
        <w:t xml:space="preserve"> </w:t>
      </w:r>
      <w:r>
        <w:rPr>
          <w:bCs/>
          <w:b/>
        </w:rPr>
        <w:t xml:space="preserve">244,5 мм</w:t>
      </w:r>
      <w:r>
        <w:t xml:space="preserve">.</w:t>
      </w:r>
    </w:p>
    <w:p>
      <w:pPr>
        <w:pStyle w:val="BodyText"/>
      </w:pPr>
      <w:r>
        <w:t xml:space="preserve">Кондуктор: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rPr>
            <m:nor/>
          </m:rPr>
          <m:t>244,5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rPr>
            <m:nor/>
          </m:rPr>
          <m:t>254,5</m:t>
        </m:r>
      </m:oMath>
      <w:r>
        <w:t xml:space="preserve"> </w:t>
      </w:r>
      <w:r>
        <w:t xml:space="preserve">мм. Колонна 244,5 мм не подходит (d ≤ 228,7 мм); у колонны 273,1 мм условию удовлетворяет только толщина стенки 8,9 мм (d = 255,3 мм).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nor/>
          </m:rPr>
          <m:t>298,5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18</m:t>
        </m:r>
        <m:r>
          <m:rPr>
            <m:sty m:val="p"/>
          </m:rPr>
          <m:t>=</m:t>
        </m:r>
        <m:r>
          <m:rPr>
            <m:nor/>
          </m:rPr>
          <m:t>334,5</m:t>
        </m:r>
      </m:oMath>
      <w:r>
        <w:t xml:space="preserve"> </w:t>
      </w:r>
      <w:r>
        <w:t xml:space="preserve">мм → долото</w:t>
      </w:r>
      <w:r>
        <w:t xml:space="preserve"> </w:t>
      </w:r>
      <w:r>
        <w:rPr>
          <w:bCs/>
          <w:b/>
        </w:rPr>
        <w:t xml:space="preserve">349,2 мм</w:t>
      </w:r>
      <w:r>
        <w:t xml:space="preserve">.</w:t>
      </w:r>
    </w:p>
    <w:p>
      <w:pPr>
        <w:pStyle w:val="ПодписьТаблицы"/>
      </w:pPr>
      <w:r>
        <w:t xml:space="preserve">Таблица 5 – Диаметры обсадных колонн и долот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27"/>
        <w:gridCol w:w="866"/>
        <w:gridCol w:w="866"/>
        <w:gridCol w:w="866"/>
        <w:gridCol w:w="866"/>
        <w:gridCol w:w="1113"/>
        <w:gridCol w:w="1113"/>
      </w:tblGrid>
      <w:tr>
        <w:trPr>
          <w:tblHeader w:val="true"/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Колонна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/>
                <w:b/>
                <w:sz w:val="24"/>
              </w:rPr>
              <w:t xml:space="preserve">, мм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r>
                <m:t>s</m:t>
              </m:r>
            </m:oMath>
            <w:r>
              <w:rPr>
                <w:rFonts w:ascii="Times New Roman" w:hAnsi="Times New Roman"/>
                <w:b/>
                <w:sz w:val="24"/>
              </w:rPr>
              <w:t xml:space="preserve">, мм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ascii="Times New Roman" w:hAnsi="Times New Roman"/>
                <w:b/>
                <w:sz w:val="24"/>
              </w:rPr>
              <w:t xml:space="preserve">, мм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r>
                <m:t>Δ</m:t>
              </m:r>
            </m:oMath>
            <w:r>
              <w:rPr>
                <w:rFonts w:ascii="Times New Roman" w:hAnsi="Times New Roman"/>
                <w:b/>
                <w:sz w:val="24"/>
              </w:rPr>
              <w:t xml:space="preserve">, мм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 xml:space="preserve">расч., мм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 xml:space="preserve">ГОСТ, мм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Кондуктор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273,1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8,9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298,5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334,5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bCs/>
                <w:rFonts w:ascii="Times New Roman" w:hAnsi="Times New Roman"/>
                <w:b/>
                <w:sz w:val="24"/>
              </w:rPr>
              <w:t xml:space="preserve">349,2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Промежуточная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193,7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10,9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215,9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241,9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bCs/>
                <w:rFonts w:ascii="Times New Roman" w:hAnsi="Times New Roman"/>
                <w:b/>
                <w:sz w:val="24"/>
              </w:rPr>
              <w:t xml:space="preserve">244,5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Эксплуатационная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127,0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141,3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157,3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bCs/>
                <w:rFonts w:ascii="Times New Roman" w:hAnsi="Times New Roman"/>
                <w:b/>
                <w:sz w:val="24"/>
              </w:rPr>
              <w:t xml:space="preserve">161,0</w:t>
            </w:r>
          </w:p>
        </w:tc>
      </w:tr>
    </w:tbl>
    <w:bookmarkEnd w:id="28"/>
    <w:bookmarkStart w:id="32" w:name="схема-конструкции-скважины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Схема конструкции скважины</w:t>
      </w:r>
    </w:p>
    <w:p>
      <w:pPr>
        <w:pStyle w:val="FirstParagraph"/>
      </w:pPr>
      <w:r>
        <w:t xml:space="preserve">Схема конструкции выполнена в обозначениях [1] (рисунок 2): D — диаметр колонны, L — глубина спуска, d — диаметр долота, H — кровля цементного камня.</w:t>
      </w:r>
    </w:p>
    <w:p>
      <w:pPr>
        <w:pStyle w:val="BodyText"/>
        <w:keepNext/>
        <w:spacing w:line="240" w:lineRule="auto" w:before="120"/>
        <w:ind w:firstLine="0"/>
        <w:jc w:val="center"/>
      </w:pPr>
      <w:r>
        <w:drawing>
          <wp:inline>
            <wp:extent cx="4139999" cy="514702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рисунки/рис2_схема_конструкции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514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 xml:space="preserve">Рисунок 2 – Схема конструкции скважины</w:t>
      </w:r>
    </w:p>
    <w:bookmarkEnd w:id="32"/>
    <w:bookmarkEnd w:id="33"/>
    <w:bookmarkStart w:id="37" w:name="сравнение-с-зарубежной-методикой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Сравнение с зарубежной методикой</w:t>
      </w:r>
    </w:p>
    <w:p>
      <w:pPr>
        <w:pStyle w:val="FirstParagraph"/>
      </w:pPr>
      <w:r>
        <w:t xml:space="preserve">По зарубежной методике диаметры подбираются по схеме соответствия колонн и долот [1] (рисунок 3); чёрные стрелки — стандартный зазор, серые — уменьшенный.</w:t>
      </w:r>
    </w:p>
    <w:p>
      <w:pPr>
        <w:pStyle w:val="BodyText"/>
        <w:keepNext/>
        <w:spacing w:line="240" w:lineRule="auto" w:before="120"/>
        <w:ind w:firstLine="0"/>
        <w:jc w:val="center"/>
      </w:pPr>
      <w:r>
        <w:drawing>
          <wp:inline>
            <wp:extent cx="5334000" cy="243183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рисунки/рис3_зарубежная_схема_выбор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 xml:space="preserve">Рисунок 3 – Подбор диаметров по зарубежной схеме (выбранная цепочка выделена)</w:t>
      </w:r>
    </w:p>
    <w:p>
      <w:pPr>
        <w:pStyle w:val="BodyText"/>
      </w:pPr>
      <w:r>
        <w:t xml:space="preserve">Для колонны 5” (127,0 мм) схема даёт только долото с уменьшенным зазором 6 1/8” (155,6 мм); далее: колонна 7 5/8” (193,7 мм) → долото 9 1/2” (241,3 мм) → колонна 10 3/4” (273,1 мм) → долото 12 1/4” (311,2 мм), последний переход — также только с уменьшенным зазором. Сравнение — в таблице 6.</w:t>
      </w:r>
    </w:p>
    <w:p>
      <w:pPr>
        <w:pStyle w:val="ПодписьТаблицы"/>
      </w:pPr>
      <w:r>
        <w:t xml:space="preserve">Таблица 6 – Результаты двух методик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747"/>
        <w:gridCol w:w="931"/>
        <w:gridCol w:w="1397"/>
        <w:gridCol w:w="931"/>
        <w:gridCol w:w="931"/>
      </w:tblGrid>
      <w:tr>
        <w:trPr>
          <w:tblHeader w:val="true"/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Колонна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Колонна (РФ / заруб.), мм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Долото РФ, мм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Долото заруб., мм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r>
                <m:t>Δ</m:t>
              </m:r>
            </m:oMath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 xml:space="preserve">заруб., мм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r>
                <m:t>Δ</m:t>
              </m:r>
            </m:oMath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 xml:space="preserve">норм., мм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Эксплуатационная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127,0 / 127,0 (5”)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161,0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155,6 (6 1/8”)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7,2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Промежуточная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193,7 / 193,7 (7 5/8”)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244,5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241,3 (9 1/2”)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12,7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Кондуктор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273,1 / 273,1 (10 3/4”)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349,2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311,2 (12 1/4”)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6,4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</w:tr>
    </w:tbl>
    <w:p>
      <w:pPr>
        <w:pStyle w:val="BodyText"/>
        <w:spacing w:before="160"/>
      </w:pPr>
      <w:r>
        <w:t xml:space="preserve">Диаметры всех трёх обсадных колонн по обеим методикам совпадают, т.е. зарубежная методика даёт аналогичный результат. Различаются диаметры долот: по зарубежной схеме они меньше (на 5,4; 3,2 и 38,0 мм), так как она допускает меньшие радиальные зазоры между муфтой и стенкой скважины — 7,2; 12,7 и 6,4 мм против нормативных 8, 13 и 18 мм. Долота 155,6 мм нет в ряду ГОСТ 20692-2003 (ближайшие 151,0 и 161,0 мм). Зарубежный вариант уменьшает объём выбуриваемой породы, особенно под кондуктор; отечественный за счёт больших зазоров облегчает спуск колонн и повышает качество цементирования, что важно для газовой скважины с АВПД.</w:t>
      </w:r>
    </w:p>
    <w:bookmarkEnd w:id="37"/>
    <w:bookmarkStart w:id="38" w:name="заключение"/>
    <w:p>
      <w:pPr>
        <w:pStyle w:val="Heading1"/>
      </w:pPr>
      <w:r>
        <w:t xml:space="preserve">ЗАКЛЮЧЕНИЕ</w:t>
      </w:r>
    </w:p>
    <w:p>
      <w:pPr>
        <w:numPr>
          <w:ilvl w:val="0"/>
          <w:numId w:val="1002"/>
        </w:numPr>
      </w:pPr>
      <w:r>
        <w:t xml:space="preserve">Рассчитаны индексы давлений; плотность бурового раствора: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1,12</m:t>
        </m:r>
      </m:oMath>
      <w:r>
        <w:t xml:space="preserve"> </w:t>
      </w:r>
      <w:r>
        <w:t xml:space="preserve">в интервале 0–1100 м и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1,50</m:t>
        </m:r>
      </m:oMath>
      <w:r>
        <w:t xml:space="preserve"> </w:t>
      </w:r>
      <w:r>
        <w:t xml:space="preserve">в интервале 1100–2400 м.</w:t>
      </w:r>
    </w:p>
    <w:p>
      <w:pPr>
        <w:numPr>
          <w:ilvl w:val="0"/>
          <w:numId w:val="1002"/>
        </w:numPr>
      </w:pPr>
      <w:r>
        <w:t xml:space="preserve">По совмещённому графику давлений установлена несовместимость условий бурения выше и ниже 1100 м.</w:t>
      </w:r>
    </w:p>
    <w:p>
      <w:pPr>
        <w:numPr>
          <w:ilvl w:val="0"/>
          <w:numId w:val="1002"/>
        </w:numPr>
      </w:pPr>
      <w:r>
        <w:t xml:space="preserve">Принята конструкция: кондуктор 273,1 мм — 510 м (долото 349,2 мм, цемент до устья); промежуточная колонна 193,7 мм — 1100 м (долото 244,5 мм, цемент до устья); эксплуатационная колонна 127,0 мм — 2400 м (долото 161,0 мм, цемент 600–2400 м).</w:t>
      </w:r>
    </w:p>
    <w:p>
      <w:pPr>
        <w:numPr>
          <w:ilvl w:val="0"/>
          <w:numId w:val="1002"/>
        </w:numPr>
      </w:pPr>
      <w:r>
        <w:t xml:space="preserve">Зарубежная методика даёт те же диаметры обсадных колонн при меньших диаметрах долот.</w:t>
      </w:r>
    </w:p>
    <w:bookmarkEnd w:id="38"/>
    <w:bookmarkStart w:id="39" w:name="список-использованных-источников"/>
    <w:p>
      <w:pPr>
        <w:pStyle w:val="Heading1"/>
      </w:pPr>
      <w:r>
        <w:t xml:space="preserve">СПИСОК ИСПОЛЬЗОВАННЫХ ИСТОЧНИКОВ</w:t>
      </w:r>
    </w:p>
    <w:p>
      <w:pPr>
        <w:numPr>
          <w:ilvl w:val="0"/>
          <w:numId w:val="1003"/>
        </w:numPr>
        <w:pStyle w:val="Литература"/>
      </w:pPr>
      <w:r>
        <w:t xml:space="preserve">Проектирование конструкции скважины: материалы практического занятия № 1 по дисциплине «Технология бурения скважин». — М.: РГУ нефти и газа (НИУ) имени И.М. Губкина, кафедра бурения нефтяных и газовых скважин.</w:t>
      </w:r>
    </w:p>
    <w:p>
      <w:pPr>
        <w:numPr>
          <w:ilvl w:val="0"/>
          <w:numId w:val="1003"/>
        </w:numPr>
        <w:pStyle w:val="Литература"/>
      </w:pPr>
      <w:r>
        <w:t xml:space="preserve">ГОСТ 632-80. Трубы обсадные и муфты к ним. Технические условия.</w:t>
      </w:r>
    </w:p>
    <w:p>
      <w:pPr>
        <w:numPr>
          <w:ilvl w:val="0"/>
          <w:numId w:val="1003"/>
        </w:numPr>
        <w:pStyle w:val="Литература"/>
      </w:pPr>
      <w:r>
        <w:t xml:space="preserve">ГОСТ 20692-2003. Долота шарошечные. Технические условия.</w:t>
      </w:r>
    </w:p>
    <w:p>
      <w:pPr>
        <w:numPr>
          <w:ilvl w:val="0"/>
          <w:numId w:val="1003"/>
        </w:numPr>
        <w:pStyle w:val="Литература"/>
      </w:pPr>
      <w:r>
        <w:t xml:space="preserve">Правила безопасности в нефтяной и газовой промышленности (ПБ 08-624-03).</w:t>
      </w:r>
    </w:p>
    <w:bookmarkEnd w:id="39"/>
    <w:sectPr>
      <w:footerReference w:type="default" r:id="rId9"/>
      <w:pgSz w:w="11906" w:h="16838"/>
      <w:pgMar w:left="1701" w:right="850" w:top="1134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spacing w:before="0" w:after="0" w:line="360" w:lineRule="auto"/>
      <w:ind w:firstLine="709" w:left="0"/>
      <w:jc w:val="both"/>
    </w:pPr>
    <w:rPr>
      <w:rFonts w:ascii="Times New Roman" w:hAnsi="Times New Roman" w:cs="Times New Roman" w:eastAsia="Times New Roman"/>
      <w:color w:val="000000"/>
      <w:sz w:val="28"/>
    </w:rPr>
  </w:style>
  <w:style w:styleId="BodyText" w:type="paragraph">
    <w:name w:val="Body Text"/>
    <w:basedOn w:val="Normal"/>
    <w:link w:val="BodyTextChar"/>
    <w:pPr>
      <w:keepNext w:val="0"/>
      <w:spacing w:after="0" w:before="0" w:line="360" w:lineRule="auto"/>
      <w:ind w:firstLine="709" w:left="0"/>
      <w:jc w:val="both"/>
    </w:pPr>
    <w:qFormat/>
    <w:rPr>
      <w:rFonts w:ascii="Times New Roman" w:hAnsi="Times New Roman" w:cs="Times New Roman" w:eastAsia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keepNext w:val="0"/>
      <w:spacing w:before="0" w:after="0" w:line="360" w:lineRule="auto"/>
      <w:ind w:firstLine="709" w:left="0"/>
      <w:jc w:val="both"/>
    </w:pPr>
    <w:rPr>
      <w:rFonts w:ascii="Times New Roman" w:hAnsi="Times New Roman" w:cs="Times New Roman" w:eastAsia="Times New Roman"/>
      <w:color w:val="000000"/>
      <w:sz w:val="28"/>
    </w:rPr>
  </w:style>
  <w:style w:customStyle="1" w:styleId="Compact" w:type="paragraph">
    <w:name w:val="Compact"/>
    <w:basedOn w:val="BodyText"/>
    <w:qFormat/>
    <w:pPr>
      <w:keepNext w:val="0"/>
      <w:spacing w:after="0" w:before="0" w:line="360" w:lineRule="auto"/>
      <w:ind w:firstLine="709" w:left="0"/>
      <w:jc w:val="both"/>
    </w:pPr>
    <w:rPr>
      <w:rFonts w:ascii="Times New Roman" w:hAnsi="Times New Roman" w:cs="Times New Roman" w:eastAsia="Times New Roman"/>
      <w:color w:val="000000"/>
      <w:sz w:val="2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40" w:before="240" w:line="360" w:lineRule="auto"/>
      <w:ind w:firstLine="709" w:left="0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240" w:before="240" w:line="360" w:lineRule="auto"/>
      <w:ind w:firstLine="709" w:left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Литература">
    <w:name w:val="Литература"/>
    <w:basedOn w:val="BodyText"/>
    <w:qFormat/>
    <w:pPr>
      <w:keepNext w:val="0"/>
      <w:spacing w:before="0" w:after="0" w:line="360" w:lineRule="auto"/>
      <w:ind w:left="0" w:firstLine="709"/>
      <w:jc w:val="both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ПодписьРисунка">
    <w:name w:val="ПодписьРисунка"/>
    <w:basedOn w:val="BodyText"/>
    <w:qFormat/>
    <w:pPr>
      <w:keepNext w:val="0"/>
      <w:spacing w:before="0" w:after="120" w:line="360" w:lineRule="auto"/>
      <w:ind w:firstLine="0" w:left="0"/>
      <w:jc w:val="center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ПодписьТаблицы">
    <w:name w:val="ПодписьТаблицы"/>
    <w:basedOn w:val="BodyText"/>
    <w:qFormat/>
    <w:pPr>
      <w:keepNext/>
      <w:spacing w:before="120" w:after="0" w:line="360" w:lineRule="auto"/>
      <w:ind w:firstLine="0" w:left="0"/>
      <w:jc w:val="left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Титул">
    <w:name w:val="Титул"/>
    <w:basedOn w:val="BodyText"/>
    <w:qFormat/>
    <w:pPr>
      <w:keepNext w:val="0"/>
      <w:spacing w:before="0" w:after="0" w:line="360" w:lineRule="auto"/>
      <w:ind w:firstLine="0" w:left="0"/>
      <w:jc w:val="center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ТитулЗаголовок">
    <w:name w:val="ТитулЗаголовок"/>
    <w:basedOn w:val="BodyText"/>
    <w:qFormat/>
    <w:pPr>
      <w:keepNext w:val="0"/>
      <w:spacing w:before="0" w:after="0" w:line="360" w:lineRule="auto"/>
      <w:ind w:firstLine="0" w:left="0"/>
      <w:jc w:val="center"/>
    </w:pPr>
    <w:rPr>
      <w:rFonts w:ascii="Times New Roman" w:hAnsi="Times New Roman" w:cs="Times New Roman" w:eastAsia="Times New Roman"/>
      <w:b/>
      <w:color w:val="000000"/>
      <w:sz w:val="40"/>
    </w:rPr>
  </w:style>
  <w:style w:type="paragraph" w:customStyle="1" w:styleId="ТитулОтступ">
    <w:name w:val="ТитулОтступ"/>
    <w:basedOn w:val="BodyText"/>
    <w:qFormat/>
    <w:pPr>
      <w:keepNext w:val="0"/>
      <w:spacing w:before="1200" w:after="0" w:line="360" w:lineRule="auto"/>
      <w:ind w:firstLine="0" w:left="0"/>
      <w:jc w:val="center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ТитулПодписи">
    <w:name w:val="ТитулПодписи"/>
    <w:basedOn w:val="BodyText"/>
    <w:qFormat/>
    <w:pPr>
      <w:keepNext w:val="0"/>
      <w:spacing w:before="0" w:after="0" w:line="360" w:lineRule="auto"/>
      <w:ind w:firstLine="0" w:left="4535"/>
      <w:jc w:val="left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29" Type="http://schemas.openxmlformats.org/officeDocument/2006/relationships/image" Target="media/rId29.png"/><Relationship Id="rId34" Type="http://schemas.openxmlformats.org/officeDocument/2006/relationships/image" Target="media/rId3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ДЗ-1. Проектирование конструкции скважины. Вариант 2</dc:title>
  <dc:creator>Фамилия И.О.</dc:creator>
  <cp:keywords/>
  <dcterms:created xsi:type="dcterms:W3CDTF">2026-10-09T22:48:15Z</dcterms:created>
  <dcterms:modified xsi:type="dcterms:W3CDTF">2026-10-09T22:48:15Z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