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2B6" w:rsidRDefault="00F962B6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</w:pPr>
      <w:r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fldChar w:fldCharType="begin"/>
      </w:r>
      <w:r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instrText xml:space="preserve"> HYPERLINK "</w:instrText>
      </w:r>
      <w:r w:rsidRPr="00F962B6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instrText>http://www.znaytovar.ru/gost/2/GOST_206922003_Dolota_sharoshe.html</w:instrText>
      </w:r>
      <w:r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instrText xml:space="preserve">" </w:instrText>
      </w:r>
      <w:r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fldChar w:fldCharType="separate"/>
      </w:r>
      <w:r w:rsidRPr="00944362">
        <w:rPr>
          <w:rStyle w:val="a5"/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http://www.znaytovar.ru/gost/2/GOST_206922003_Dolota_sharoshe.html</w:t>
      </w:r>
      <w:r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fldChar w:fldCharType="end"/>
      </w:r>
      <w:r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 xml:space="preserve"> </w:t>
      </w:r>
    </w:p>
    <w:p w:rsidR="00F962B6" w:rsidRDefault="00F962B6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</w:pPr>
    </w:p>
    <w:p w:rsidR="00920434" w:rsidRPr="00920434" w:rsidRDefault="00920434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ГОСТ 20692-2003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МЕЖГОСУДАРСТВЕННЫЙ СТАНДАРТ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4"/>
        <w:rPr>
          <w:rFonts w:ascii="Arial" w:eastAsia="Times New Roman" w:hAnsi="Arial" w:cs="Arial"/>
          <w:b/>
          <w:bCs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lang w:eastAsia="ru-RU"/>
        </w:rPr>
        <w:t>ДОЛОТА ШАРОШЕЧНЫЕ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Технические условия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МЕЖГОСУДАРСТВЕННЫЙ СОВЕТ</w:t>
      </w:r>
      <w:r w:rsidRPr="00920434">
        <w:rPr>
          <w:rFonts w:ascii="Arial" w:eastAsia="Times New Roman" w:hAnsi="Arial" w:cs="Arial"/>
          <w:b/>
          <w:bCs/>
          <w:color w:val="606060"/>
          <w:sz w:val="24"/>
          <w:szCs w:val="24"/>
          <w:bdr w:val="none" w:sz="0" w:space="0" w:color="auto" w:frame="1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br/>
        <w:t>ПО СТАНДАРТИЗАЦИИ, МЕТРОЛОГИИ И СЕРТИФИКАЦИИ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Минск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Предисловие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1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РАЗРАБОТАН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Межгосударственным техническим комитетом по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5" w:tooltip="Стандартизация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стандартизации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МТК 261 «Материалы и оборудование для нефтяной и газовой промышленности» (ОАО «НПО «Буровая техника» - ВНИИ БТ)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ВНЕСЕН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Госстандартом России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2 ПРИНЯТ Межгосударственным советом по стандартизации, метрологии и сертификации (протокол № 23 от 22 мая 2003 г.)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За принятие проголосовали:</w:t>
      </w:r>
    </w:p>
    <w:tbl>
      <w:tblPr>
        <w:tblW w:w="5000" w:type="pct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5"/>
        <w:gridCol w:w="4738"/>
      </w:tblGrid>
      <w:tr w:rsidR="00920434" w:rsidRPr="00920434" w:rsidTr="00920434">
        <w:trPr>
          <w:tblHeader/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Наименование государства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Наименование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hyperlink r:id="rId6" w:tooltip="Национальный орган по стандартизации" w:history="1">
              <w:r w:rsidRPr="00920434">
                <w:rPr>
                  <w:rFonts w:ascii="Arial" w:eastAsia="Times New Roman" w:hAnsi="Arial" w:cs="Arial"/>
                  <w:color w:val="006600"/>
                  <w:sz w:val="20"/>
                  <w:szCs w:val="20"/>
                  <w:u w:val="single"/>
                  <w:bdr w:val="none" w:sz="0" w:space="0" w:color="auto" w:frame="1"/>
                  <w:lang w:eastAsia="ru-RU"/>
                </w:rPr>
                <w:t>национального органа по стандартизации</w:t>
              </w:r>
            </w:hyperlink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Азербайджанская Республика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Азгосстандарт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Республика Армения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Армгосстандарт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Республика Беларусь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Госстандарт Республики Беларусь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Грузия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Грузстандарт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Республика Казахстан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Госстандарт Республики Казахстан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Кыргызская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Республика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Кыргызстандарт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Республика Молдова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Молдова-Стандарт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Российская Федерация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Госстандарт России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Республика Таджикистан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Таджикстандарт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Туркменистан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Главгосслужба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«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Туркменстандартлары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»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Республика Узбекистан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Узгосстандарт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Украина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Госстандарт Украины</w:t>
            </w:r>
          </w:p>
        </w:tc>
      </w:tr>
    </w:tbl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3 В стандарте учтены требования спецификации 7 Американского нефтяного института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( 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API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Spec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7)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 Постановлением Государственного комитета Российской Федерации по стандартизации и метрологии от 7 октября 2003 г. № 281-ст</w:t>
      </w:r>
      <w:hyperlink r:id="rId7" w:tooltip="Межгосударственный стандарт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межгосударственный стандарт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20692-2003 введен в действие непосредственно в качестве государственного стандарта Российской Федерации с 1 июля 2004 г.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5 ВЗАМЕН ГОСТ 20692-75</w:t>
      </w:r>
    </w:p>
    <w:p w:rsidR="00920434" w:rsidRPr="00920434" w:rsidRDefault="00920434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ГОСТ 20692-2003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МЕЖГОСУДАРСТВЕННЫЙ СТАНДАРТ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ДОЛОТА ШАРОШЕЧНЫЕ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Технические условия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Roller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bits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.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Specifications</w:t>
      </w:r>
      <w:proofErr w:type="spellEnd"/>
    </w:p>
    <w:p w:rsidR="00920434" w:rsidRPr="00920434" w:rsidRDefault="00920434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Дата</w:t>
      </w:r>
      <w:r w:rsidRPr="00920434">
        <w:rPr>
          <w:rFonts w:ascii="Arial" w:eastAsia="Times New Roman" w:hAnsi="Arial" w:cs="Arial"/>
          <w:b/>
          <w:bCs/>
          <w:color w:val="606060"/>
          <w:sz w:val="24"/>
          <w:szCs w:val="24"/>
          <w:bdr w:val="none" w:sz="0" w:space="0" w:color="auto" w:frame="1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введения</w:t>
      </w:r>
      <w:r w:rsidRPr="00920434">
        <w:rPr>
          <w:rFonts w:ascii="Arial" w:eastAsia="Times New Roman" w:hAnsi="Arial" w:cs="Arial"/>
          <w:b/>
          <w:bCs/>
          <w:color w:val="606060"/>
          <w:sz w:val="24"/>
          <w:szCs w:val="24"/>
          <w:bdr w:val="none" w:sz="0" w:space="0" w:color="auto" w:frame="1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2004-07-01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1 Область применения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Настоящий стандарт распространяется на шарошечные долота для сплошного бурения скважин.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Требования, изложенные в разделах 3 - 5 (кроме 5.2), разделах 6 - 8, являются обязательными.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Обязательные требования, обеспечивающие безопасность работы с шарошечными долотами, изложены в 4.4 - 4.6.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2 Нормативные ссылки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В настоящем стандарте использованы ссылки на следующие стандарты: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9.032-74 Единая система защиты от коррозии и старения. Покрытия лакокрасочные. Группы, технические требования и обозначения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15.309-98 Система разработки и постановки продукции на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8" w:tooltip="Производство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производство</w:t>
        </w:r>
      </w:hyperlink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. Испытания и приемка выпускаемой продукции. Основные положения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ГОСТ 164-90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Штангенрейсмасы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. Технические условия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577-68 Индикаторы часового типа с ценой деления 0,01 мм. Технические условия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3242-79 Соединения сварные. Методы контроля качества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lastRenderedPageBreak/>
        <w:t xml:space="preserve">ГОСТ 7918-75 Замки для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геолого-разведочных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бурильных труб диаметром 50 мм. Технические условия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14192-96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9" w:tooltip="Маркировка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Маркировка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грузов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15150-69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10" w:tooltip="Машина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Машины</w:t>
        </w:r>
      </w:hyperlink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, приборы и другие технические изделия. Исполнения для различных климатических районов. Категории, условия эксплуатации,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11" w:tooltip="Хранение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хранения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и транспортирования в части воздействия климатических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12" w:tooltip="Факторы внешней среды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факторов внешней среды</w:t>
        </w:r>
      </w:hyperlink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ГОСТ 28487-90 Резьба коническая замковая для элементов бурильных колонн. Профиль. Размеры.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13" w:tooltip="Допуск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Допуски</w:t>
        </w:r>
      </w:hyperlink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*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* На территории Российской Федерации действует ГОСТ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50864-96 Резьба коническая замковая для элементов бурильных колонн. Профиль, размеры, технические требования.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3 Классификация и основные размеры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3.1 Долота следует изготовлять следующих видов: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I - одношарошечные;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II -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двухшарошечные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III -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трехшарошечные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3.2 Долота следует изготовлять следующих типов: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 - со стальными зубьями для бурения мягких пород;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МЗ - с твердосплавными зубками для бурения мягких абразивных пород;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МС - со стальными зубьями для бурения мягких пород с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пропластками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средней твердости;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МСЗ - с твердосплавными зубками для бурения мягких абразивных пород с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пропластками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средней твердости;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-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со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стальными зубьями для бурения пород средней твердости;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СЗ - с твердосплавными зубками для бурения абразивных пород средней твердости;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СТ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- со стальными зубьями для бурения пород средней твердости с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пропластками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твердых;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 - со стальными зубьями для бурения твердых пород;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ТЗ - с твердосплавными зубками для бурения твердых абразивных пород;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ТК - со стальными зубьями и твердосплавными зубками для бурения твердых пород с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пропластками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крепких;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ТКЗ - с твердосплавными зубками для бурения твердых абразивных пород с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пропластками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крепких;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К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- с твердосплавными зубками для бурения крепких пород;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ОК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- с твердосплавными зубками для бурения очень крепких пород.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3.3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П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 расположению и конструкции промывочных и продувных узлов (каналов) долота следует изготовлять с: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центральной промывкой -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Ц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боковой гидромониторной промывкой - Г;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комбинированной промывкой - ЦГ;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центральной продувкой -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боковой продувкой - ПГ.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3.4 Опоры шарошек следует изготовлять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на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подшипниках с телами качения и одном или более упорных подшипниках скольжения, или без упорных подшипников скольжения -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В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подшипниках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 телами качения и одном или более упорных подшипниках скольжения и герметизацией опоры - ВУ;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одном радиальном и одном или более упорных подшипниках скольжения (остальные подшипники с телами качения) - Н;</w:t>
      </w:r>
      <w:proofErr w:type="gramEnd"/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одном радиальном и одном или более упорных подшипниках скольжения (остальные подшипники с телами качения) и герметизацией опоры - НУ;</w:t>
      </w:r>
      <w:proofErr w:type="gramEnd"/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двух или более радиальных подшипниках скольжения с одним или более упорным подшипником скольжения - А;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двух или более радиальных подшипниках скольжения с одним или более упорным подшипником скольжения и герметизацией опоры - АУ.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3.5 Основные размеры долот и обозначения присоединительной резьбы должны соответствовать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указанным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на рисунке 1 и в таблице 1 .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noProof/>
          <w:color w:val="606060"/>
          <w:sz w:val="20"/>
          <w:szCs w:val="20"/>
          <w:lang w:eastAsia="ru-RU"/>
        </w:rPr>
        <w:lastRenderedPageBreak/>
        <w:drawing>
          <wp:inline distT="0" distB="0" distL="0" distR="0" wp14:anchorId="41EB7999" wp14:editId="01A4C0C5">
            <wp:extent cx="2124075" cy="3390900"/>
            <wp:effectExtent l="0" t="0" r="9525" b="0"/>
            <wp:docPr id="1" name="Рисунок 1" descr="http://images.znaytovar.ru/images/text/40529.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znaytovar.ru/images/text/40529.files/image00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Примечание - Рисунок не определяет конструкцию долота.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Рисунок 1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Таблица 1</w:t>
      </w:r>
    </w:p>
    <w:p w:rsidR="00920434" w:rsidRPr="00920434" w:rsidRDefault="00920434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Размеры в миллиметрах</w:t>
      </w:r>
    </w:p>
    <w:tbl>
      <w:tblPr>
        <w:tblW w:w="5000" w:type="pct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874"/>
        <w:gridCol w:w="1781"/>
        <w:gridCol w:w="1781"/>
        <w:gridCol w:w="2067"/>
      </w:tblGrid>
      <w:tr w:rsidR="00920434" w:rsidRPr="00920434" w:rsidTr="00920434">
        <w:trPr>
          <w:tblHeader/>
          <w:tblCellSpacing w:w="7" w:type="dxa"/>
        </w:trPr>
        <w:tc>
          <w:tcPr>
            <w:tcW w:w="2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Диаметр долота</w:t>
            </w:r>
            <w:r w:rsidRPr="00FE7EDC">
              <w:rPr>
                <w:rFonts w:ascii="Arial" w:eastAsia="Times New Roman" w:hAnsi="Arial" w:cs="Arial"/>
                <w:b/>
                <w:color w:val="606060"/>
                <w:sz w:val="24"/>
                <w:szCs w:val="24"/>
                <w:lang w:eastAsia="ru-RU"/>
              </w:rPr>
              <w:t> </w:t>
            </w:r>
            <w:r w:rsidRPr="00FE7EDC">
              <w:rPr>
                <w:rFonts w:ascii="Arial" w:eastAsia="Times New Roman" w:hAnsi="Arial" w:cs="Arial"/>
                <w:b/>
                <w:i/>
                <w:iCs/>
                <w:color w:val="606060"/>
                <w:sz w:val="20"/>
                <w:szCs w:val="20"/>
                <w:bdr w:val="none" w:sz="0" w:space="0" w:color="auto" w:frame="1"/>
                <w:lang w:eastAsia="ru-RU"/>
              </w:rPr>
              <w:t>D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Диаметр упорного уступа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0"/>
                <w:szCs w:val="20"/>
                <w:bdr w:val="none" w:sz="0" w:space="0" w:color="auto" w:frame="1"/>
                <w:lang w:eastAsia="ru-RU"/>
              </w:rPr>
              <w:t>D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l</w:t>
            </w:r>
            <w:proofErr w:type="spellEnd"/>
          </w:p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±0,4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Длина ниппеля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0"/>
                <w:szCs w:val="20"/>
                <w:bdr w:val="none" w:sz="0" w:space="0" w:color="auto" w:frame="1"/>
                <w:lang w:eastAsia="ru-RU"/>
              </w:rPr>
              <w:t>L</w:t>
            </w:r>
          </w:p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-4,8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Обозначение присоединительной резьбы</w:t>
            </w:r>
          </w:p>
        </w:tc>
      </w:tr>
      <w:tr w:rsidR="00920434" w:rsidRPr="00920434" w:rsidTr="00920434">
        <w:trPr>
          <w:tblHeader/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Номин</w:t>
            </w:r>
            <w:proofErr w:type="spellEnd"/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Пред</w:t>
            </w: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ткл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76,0</w:t>
            </w: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+ 0,6</w:t>
            </w: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57,0</w:t>
            </w: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З-42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93,0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+ 0,8</w:t>
            </w: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65,0; 77,4; 78,18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76; (60)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З-50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95,3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77,4; 78,18; 83,0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З-63,5; З-66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98,4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114,3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117,5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92,47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88,9; (70)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З-76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120,6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127,0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130,2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92,47; 105,17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88,9; 95,25; (70)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З-76; З-88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132,0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139,7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83,0; 105,17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70,0; 95,25; (60)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З-63,5; З-88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146,0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151,0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161,0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165,1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171,4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187,3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190,5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136,13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107,95; (80)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З-117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200,0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212,7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215,9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222,3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238,1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241,3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142,1; 187,72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102; 127; (80)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З-121; З-152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244,5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250,8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269,9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295,3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304,8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311,1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lastRenderedPageBreak/>
              <w:t>320,0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349,2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365,1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+ 1,6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187,72; 196,0; 203*; 215,9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127,0; (80); 133,35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З-152; З-171; З-177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368,3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371,5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374,6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393,7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444,5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469,9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+ 2,4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473,1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196,0; 215,9;</w:t>
            </w:r>
          </w:p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243,28; 243,8</w:t>
            </w: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127,0; 133,35;</w:t>
            </w:r>
          </w:p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 136,53; 137,0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З-171; З-177; З-201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490,0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FE7EDC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</w:pPr>
            <w:r w:rsidRPr="00FE7EDC">
              <w:rPr>
                <w:rFonts w:ascii="Arial" w:eastAsia="Times New Roman" w:hAnsi="Arial" w:cs="Arial"/>
                <w:b/>
                <w:color w:val="606060"/>
                <w:sz w:val="20"/>
                <w:szCs w:val="20"/>
                <w:lang w:eastAsia="ru-RU"/>
              </w:rPr>
              <w:t>508,0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</w:tr>
      <w:tr w:rsidR="00920434" w:rsidRPr="00920434" w:rsidTr="00920434">
        <w:trPr>
          <w:tblCellSpacing w:w="7" w:type="dxa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* Для корпусных долот с муфтовой присоединительной резьбой.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Примечания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 Размеры в скобках указаны для долот с укороченной резьбой.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</w:t>
            </w: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П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 заказу потребителя допускается изготовление долот с размерами, отличными от указанных.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 Долота с опорами</w:t>
            </w: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и В следует изготовлять: с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0"/>
                <w:szCs w:val="20"/>
                <w:bdr w:val="none" w:sz="0" w:space="0" w:color="auto" w:frame="1"/>
                <w:lang w:eastAsia="ru-RU"/>
              </w:rPr>
              <w:t>D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4"/>
                <w:szCs w:val="24"/>
                <w:bdr w:val="none" w:sz="0" w:space="0" w:color="auto" w:frame="1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=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noProof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drawing>
                <wp:inline distT="0" distB="0" distL="0" distR="0" wp14:anchorId="21504D4E" wp14:editId="20B267E7">
                  <wp:extent cx="400050" cy="266700"/>
                  <wp:effectExtent l="0" t="0" r="0" b="0"/>
                  <wp:docPr id="2" name="Рисунок 2" descr="http://images.znaytovar.ru/images/text/40529.files/image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images.znaytovar.ru/images/text/40529.files/image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 мм, с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0"/>
                <w:szCs w:val="20"/>
                <w:bdr w:val="none" w:sz="0" w:space="0" w:color="auto" w:frame="1"/>
                <w:lang w:eastAsia="ru-RU"/>
              </w:rPr>
              <w:t>D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4"/>
                <w:szCs w:val="24"/>
                <w:bdr w:val="none" w:sz="0" w:space="0" w:color="auto" w:frame="1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от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noProof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drawing>
                <wp:inline distT="0" distB="0" distL="0" distR="0" wp14:anchorId="7748D617" wp14:editId="404A3401">
                  <wp:extent cx="381000" cy="266700"/>
                  <wp:effectExtent l="0" t="0" r="0" b="0"/>
                  <wp:docPr id="3" name="Рисунок 3" descr="http://images.znaytovar.ru/images/text/40529.files/image00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images.znaytovar.ru/images/text/40529.files/image00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 мм до 320,0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bdr w:val="none" w:sz="0" w:space="0" w:color="auto" w:frame="1"/>
                <w:vertAlign w:val="subscript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noProof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drawing>
                <wp:inline distT="0" distB="0" distL="0" distR="0" wp14:anchorId="79B9E9BE" wp14:editId="6C4926FD">
                  <wp:extent cx="247650" cy="266700"/>
                  <wp:effectExtent l="0" t="0" r="0" b="0"/>
                  <wp:docPr id="4" name="Рисунок 4" descr="http://images.znaytovar.ru/images/text/40529.files/image00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images.znaytovar.ru/images/text/40529.files/image00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мм, с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0"/>
                <w:szCs w:val="20"/>
                <w:bdr w:val="none" w:sz="0" w:space="0" w:color="auto" w:frame="1"/>
                <w:lang w:eastAsia="ru-RU"/>
              </w:rPr>
              <w:t>D</w:t>
            </w:r>
            <w:r w:rsidRPr="00920434">
              <w:rPr>
                <w:rFonts w:ascii="Arial" w:eastAsia="Times New Roman" w:hAnsi="Arial" w:cs="Arial"/>
                <w:i/>
                <w:iCs/>
                <w:color w:val="606060"/>
                <w:sz w:val="24"/>
                <w:szCs w:val="24"/>
                <w:bdr w:val="none" w:sz="0" w:space="0" w:color="auto" w:frame="1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от (349,2 ± 1,5) мм до (393,7 ± 1,5) мм; с D ³ 444,5 мм ± 2,0 мм.</w:t>
            </w:r>
          </w:p>
        </w:tc>
      </w:tr>
    </w:tbl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Пример условного обозначения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трехшарошечного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долота диаметром 215,9 мм для бурения абразивных пород средней твердости (СЗ), с боковой гидромониторной промывкой (Г), на двух или более радиальных подшипниках скольжения с одним или более упорным подшипником скольжения и герметизацией опоры (АУ):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i/>
          <w:iCs/>
          <w:color w:val="606060"/>
          <w:sz w:val="20"/>
          <w:szCs w:val="20"/>
          <w:bdr w:val="none" w:sz="0" w:space="0" w:color="auto" w:frame="1"/>
          <w:lang w:eastAsia="ru-RU"/>
        </w:rPr>
        <w:t>Долото шарошечное</w:t>
      </w:r>
      <w:r w:rsidRPr="00920434">
        <w:rPr>
          <w:rFonts w:ascii="Arial" w:eastAsia="Times New Roman" w:hAnsi="Arial" w:cs="Arial"/>
          <w:i/>
          <w:iCs/>
          <w:color w:val="606060"/>
          <w:sz w:val="24"/>
          <w:szCs w:val="24"/>
          <w:bdr w:val="none" w:sz="0" w:space="0" w:color="auto" w:frame="1"/>
          <w:lang w:eastAsia="ru-RU"/>
        </w:rPr>
        <w:t> </w:t>
      </w:r>
      <w:r w:rsidRPr="00920434">
        <w:rPr>
          <w:rFonts w:ascii="Arial" w:eastAsia="Times New Roman" w:hAnsi="Arial" w:cs="Arial"/>
          <w:i/>
          <w:iCs/>
          <w:color w:val="606060"/>
          <w:sz w:val="20"/>
          <w:szCs w:val="20"/>
          <w:bdr w:val="none" w:sz="0" w:space="0" w:color="auto" w:frame="1"/>
          <w:lang w:eastAsia="ru-RU"/>
        </w:rPr>
        <w:t>III</w:t>
      </w:r>
      <w:r w:rsidRPr="00920434">
        <w:rPr>
          <w:rFonts w:ascii="Arial" w:eastAsia="Times New Roman" w:hAnsi="Arial" w:cs="Arial"/>
          <w:i/>
          <w:iCs/>
          <w:color w:val="606060"/>
          <w:sz w:val="24"/>
          <w:szCs w:val="24"/>
          <w:bdr w:val="none" w:sz="0" w:space="0" w:color="auto" w:frame="1"/>
          <w:lang w:eastAsia="ru-RU"/>
        </w:rPr>
        <w:t> </w:t>
      </w:r>
      <w:r w:rsidRPr="00920434">
        <w:rPr>
          <w:rFonts w:ascii="Arial" w:eastAsia="Times New Roman" w:hAnsi="Arial" w:cs="Arial"/>
          <w:i/>
          <w:iCs/>
          <w:color w:val="606060"/>
          <w:sz w:val="20"/>
          <w:szCs w:val="20"/>
          <w:bdr w:val="none" w:sz="0" w:space="0" w:color="auto" w:frame="1"/>
          <w:lang w:eastAsia="ru-RU"/>
        </w:rPr>
        <w:t>215,9 СЗ-ГАУ ГОСТ 20692-2003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4 Технические требования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 Долота следует изготовлять в соответствии с требованиями настоящего стандарта, по рабочим чертежам, утвержденным в установленном порядке.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4.2 Точность изготовления долот должна соответствовать значениям, указанным в таблице 2 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Таблица 2</w:t>
      </w:r>
    </w:p>
    <w:p w:rsidR="00920434" w:rsidRPr="00920434" w:rsidRDefault="00920434" w:rsidP="00920434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Размеры в миллиметрах</w:t>
      </w:r>
    </w:p>
    <w:tbl>
      <w:tblPr>
        <w:tblW w:w="5000" w:type="pct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412"/>
        <w:gridCol w:w="759"/>
        <w:gridCol w:w="759"/>
        <w:gridCol w:w="760"/>
        <w:gridCol w:w="760"/>
        <w:gridCol w:w="760"/>
        <w:gridCol w:w="760"/>
        <w:gridCol w:w="760"/>
        <w:gridCol w:w="861"/>
      </w:tblGrid>
      <w:tr w:rsidR="00920434" w:rsidRPr="00920434" w:rsidTr="00920434">
        <w:trPr>
          <w:tblHeader/>
          <w:tblCellSpacing w:w="7" w:type="dxa"/>
        </w:trPr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Наименование параметра</w:t>
            </w:r>
          </w:p>
        </w:tc>
        <w:tc>
          <w:tcPr>
            <w:tcW w:w="7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Тип долота</w:t>
            </w:r>
          </w:p>
        </w:tc>
        <w:tc>
          <w:tcPr>
            <w:tcW w:w="325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Норма точности для долот диаметрами, не более</w:t>
            </w:r>
          </w:p>
        </w:tc>
      </w:tr>
      <w:tr w:rsidR="00920434" w:rsidRPr="00920434" w:rsidTr="00920434">
        <w:trPr>
          <w:tblHeader/>
          <w:tblCellSpacing w:w="7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от 76,0 до 98,4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св. 98,4 до 171,4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св. 171,4 до 250,8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св. 250,8 до 311,1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св. 311,1 до 349,2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св. 349,2 до 393,7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св. 393,7 до 490,0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включ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св. 490,0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Разновысотность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шарошек относительно упорного уступа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М, МС, С, МЗ, МСЗ, СЗ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1,1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3,3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СТ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, Т, ТЗ, ТКЗ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0,9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1,3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3,3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ОК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, К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1,2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1,7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-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9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Радиальное биение шарошек относительно оси резьбы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1,1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2,3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2,8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3,8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МС, С, МЗ, МСЗ, СЗ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1,1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3,8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СТ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, Т, ТЗ, ТКЗ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1,3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1,8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2,3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3,0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ОК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, К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1,2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1,8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-</w:t>
            </w:r>
          </w:p>
        </w:tc>
      </w:tr>
    </w:tbl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4.3 Долота следует изготовлять с правой конической замковой резьбой.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Резьбы З-42 и З-63,5 - по техническому документу, утвержденному в установленном порядке.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Резьба З-50 - по ГОСТ 7918.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Остальные резьбы (кроме величины натяга) - по ГОСТ 28487.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Соответствие обозначений присоединительной резьбы по настоящему стандарту и спецификации 7 Американского нефтяного института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( 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API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Spec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7) приведено в приложении А.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4.4 Натяг конической замковой резьбы должен быть: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10 ,35</w:t>
      </w:r>
      <w:r w:rsidRPr="00920434">
        <w:rPr>
          <w:rFonts w:ascii="Arial" w:eastAsia="Times New Roman" w:hAnsi="Arial" w:cs="Arial"/>
          <w:color w:val="606060"/>
          <w:sz w:val="20"/>
          <w:szCs w:val="20"/>
          <w:bdr w:val="none" w:sz="0" w:space="0" w:color="auto" w:frame="1"/>
          <w:vertAlign w:val="superscript"/>
          <w:lang w:eastAsia="ru-RU"/>
        </w:rPr>
        <w:t>+0,4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мм - для ниппельной резьбы З-42;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10 ,00</w:t>
      </w:r>
      <w:r w:rsidRPr="00920434">
        <w:rPr>
          <w:rFonts w:ascii="Arial" w:eastAsia="Times New Roman" w:hAnsi="Arial" w:cs="Arial"/>
          <w:color w:val="606060"/>
          <w:sz w:val="20"/>
          <w:szCs w:val="20"/>
          <w:bdr w:val="none" w:sz="0" w:space="0" w:color="auto" w:frame="1"/>
          <w:vertAlign w:val="superscript"/>
          <w:lang w:eastAsia="ru-RU"/>
        </w:rPr>
        <w:t>+0,4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мм - для ниппельной резьбы З-50;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16 ,00</w:t>
      </w:r>
      <w:r w:rsidRPr="00920434">
        <w:rPr>
          <w:rFonts w:ascii="Arial" w:eastAsia="Times New Roman" w:hAnsi="Arial" w:cs="Arial"/>
          <w:color w:val="606060"/>
          <w:sz w:val="20"/>
          <w:szCs w:val="20"/>
          <w:bdr w:val="none" w:sz="0" w:space="0" w:color="auto" w:frame="1"/>
          <w:vertAlign w:val="superscript"/>
          <w:lang w:eastAsia="ru-RU"/>
        </w:rPr>
        <w:t>+0,4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мм - для ниппельной резьбы З-63,5;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lastRenderedPageBreak/>
        <w:t>15 ,875</w:t>
      </w:r>
      <w:r w:rsidRPr="00920434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  <w:vertAlign w:val="subscript"/>
          <w:lang w:eastAsia="ru-RU"/>
        </w:rPr>
        <w:t> </w:t>
      </w:r>
      <w:r w:rsidRPr="00920434">
        <w:rPr>
          <w:rFonts w:ascii="Arial" w:eastAsia="Times New Roman" w:hAnsi="Arial" w:cs="Arial"/>
          <w:noProof/>
          <w:color w:val="606060"/>
          <w:sz w:val="20"/>
          <w:szCs w:val="20"/>
          <w:bdr w:val="none" w:sz="0" w:space="0" w:color="auto" w:frame="1"/>
          <w:vertAlign w:val="subscript"/>
          <w:lang w:eastAsia="ru-RU"/>
        </w:rPr>
        <w:drawing>
          <wp:inline distT="0" distB="0" distL="0" distR="0" wp14:anchorId="7BF39B92" wp14:editId="4BA41FE8">
            <wp:extent cx="266700" cy="257175"/>
            <wp:effectExtent l="0" t="0" r="0" b="9525"/>
            <wp:docPr id="5" name="Рисунок 5" descr="http://images.znaytovar.ru/images/text/40529.files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.znaytovar.ru/images/text/40529.files/image010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мм -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для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ниппельных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резьб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З-88, З-117, З-121, З-152, З-171, З-177, З-201;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0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noProof/>
          <w:color w:val="606060"/>
          <w:sz w:val="20"/>
          <w:szCs w:val="20"/>
          <w:bdr w:val="none" w:sz="0" w:space="0" w:color="auto" w:frame="1"/>
          <w:vertAlign w:val="subscript"/>
          <w:lang w:eastAsia="ru-RU"/>
        </w:rPr>
        <w:drawing>
          <wp:inline distT="0" distB="0" distL="0" distR="0" wp14:anchorId="3DAAE743" wp14:editId="6076BA7F">
            <wp:extent cx="266700" cy="257175"/>
            <wp:effectExtent l="0" t="0" r="0" b="9525"/>
            <wp:docPr id="6" name="Рисунок 6" descr="http://images.znaytovar.ru/images/text/40529.files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ages.znaytovar.ru/images/text/40529.files/image012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мм -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для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муфтовых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резьб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З-88, З-117, З-121, З-152, З-171, З-177, З-201.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4.5 Система промывки гидромониторных долот диаметрами 190,5 мм и более должна быть герметична при давлении жидкости 7,85 МПа; диаметрами менее 190,5 мм - при давлении жидкости 5 МПа.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4.6 Насадки в гидромониторных долотах с боковой промывкой диаметрами 190,5 мм и более должны удерживаться при давлении жидкости 7,85 МПа; диаметрами менее 190,5 мм - при давлении жидкости 5 МПа. Насадки должны быть сменными.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4.7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В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сварных швах на поверхностях упорного уступа ниппеля и на расстоянии 25 мм над упорным уступом ниппеля не допускаются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20" w:tooltip="Дефект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дефекты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сварки, на остальной резьбовой части ниппеля допускаются единичные поры и раковины диаметром не более 1 мм в количестве не более 3 шт. на каждом шве. На резьбовой части корпусных долот допускаются единичные поры и раковины диаметром не более 2 мм в количестве до 5 шт.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4.8 Требования к материалам, химико-термической обработке, комплектующим, краскам, смазкам должны соответствовать нормативной и технической документации, утвержденной в установленном порядке.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4.9 Поверхность долот, кроме присоединительной резьбы, упорного уступа ниппеля (упорного торца муфты), торца ниппеля и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заходной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фаски должна быть покрыта ровным слоем краски. После высыхания краска должна прочно удерживаться на долоте. Класс покрытия VII - по ГОСТ 9.032 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4.10 Поры, вздутия, мелкие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21" w:tooltip="Пузыри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пузыри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и выступания коррозии через краску, а также попадание краски на присоединительную резьбу, упорный уступ, клапаны, в отверстия крышек смазочных резервуаров, промывочные каналы гидромониторных долот не допускаются.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4.11 Присоединительная резьба должна быть покрыта антикоррозионной смазкой.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4.12 Опоры шарошек должны быть заполнены смазкой. Заполнение смазкой долот с опорой НУ следует проводить до появления смазки из-под манжеты. Долота с опорам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и АУ и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ВУ перед заполнением смазкой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вакуумируют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4.13 Шарошки долот с опорами АУ, НУ, ВУ должны проворачиваться на опорах от руки со значительным усилием. Шарошки долот с опорами Н, В, А должны свободно и плавно проворачиваться на опорах от усилий руки.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Зацепление зубьев или зубков одной шарошки за зубья или зубки, а также за корпус другой шарошки не допускается.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4.14 Пружинное кольцо компенсационного узла долота должно заходить по всему периметру в канавку и не иметь повреждений, а крышка не должна проворачиваться от руки.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4.15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Требования надежности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4.15.1 Срок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сохраняемости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долот - не менее 18 </w:t>
      </w:r>
      <w:proofErr w:type="spellStart"/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мес</w:t>
      </w:r>
      <w:proofErr w:type="spellEnd"/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со дня изготовления.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4.16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Комплектность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4.16.1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В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комплект поставки входят: долото с установленными насадками и (или) клапанами, а также паспорт долота.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По согласованию с потребителем допускается поставка долот без насадок.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4.17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Маркировка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4.17.1 Маркировка долот должна быть четкой и сохраняться на протяжении срока службы долота.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4.17.2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Н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а торце ниппеля (пояске муфты) маркируются: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22" w:tooltip="Товарный знак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товарный знак</w:t>
        </w:r>
      </w:hyperlink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предприятия-изготовителя;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условное обозначение долота (допускается обозначение стандарта не маркировать);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обозначение присоединительной резьбы (по требованию потребителя);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порядковый номер долота по системе нумерации предприятия-изготовителя;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дата изготовления (месяц, год);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клеймо технического контроля.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Примечание - Допускается маркирование товарного знака предприятия-изготовителя на других поверхностях долота.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4.18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Упаковка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4.18.1 Поверхность присоединительной резьбы, включая упорный уступ ниппеля (упорный торец муфты), торец ниппеля и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заходную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фаску, должна быть полностью покрыта ровным слоем консервационной смазки по технической документации, утвержденной в установленном порядке.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4.18.2 Долота упаковывают в соответствии с технической документацией, утвержденной в установленном порядке.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По согласованию с потребителем допускается не упаковывать долота, при этом должна быть обеспечена защита присоединительной резьбы.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Каждое долото должно сопровождаться паспортом, содержащим: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lastRenderedPageBreak/>
        <w:t>- наименование продукции;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наименование страны-изготовителя;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наименование предприятия-изготовителя;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область применения продукции;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основные технические характеристики;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изображение знака соответствия для сертифицированной продукции;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юридический адрес предприятия-изготовителя (продавца);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массу нетто;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комплектность;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товарный знак предприятия-изготовителя;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дату изготовления;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- код IADC (по требованию потребителя).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5 Правила приемки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5.1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Д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ля контроля соответствия долот требованиям настоящего стандарта предприятие-изготовитель должно проводить приемосдаточные испытания по ГОСТ 15.309 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5.2 Объем выборки при приемосдаточных испытаниях: 100 % - по 3 ,5, 4.2 , 4.4 - 4.6 , 4.9 - 4.14 , 4.16 - 4.18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;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10 % - по 4.7 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6 Методы контроля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6.1 Контроль размеров долот следует проводить с применением универсальных или специальных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hyperlink r:id="rId23" w:tooltip="Средства измерения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lang w:eastAsia="ru-RU"/>
          </w:rPr>
          <w:t>средств измерений</w:t>
        </w:r>
      </w:hyperlink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6.2 Диаметр долот следует контролировать с помощью предельных калибров-колец.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6.3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Разновысотность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шарошек относительно упорного уступа, радиальное биение шарошек относительно оси резьбы следует контролировать по техническому документу, утвержденному в установленном порядке, с помощью специальных контрольных приспособлений,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штангенрейсмаса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по ГОСТ 164 , индикатора часового типа по ГОСТ 577 с ценой деления 0,01 мм.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6.4 Натяг присоединительной резьбы следует контролировать резьбовыми калибрами по техническому документу, утвержденному в установленном порядке. При этом поверхность резьбы должна быть тщательно очищена, а на поверхность резьбы должен быть нанесен тонкий слой жидкого масла.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6.5 Герметичность системы промывки и крепления насадок следует контролировать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опрессовкой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долот с уплотнением по упорному уступу ниппеля (упорному торцу муфты) в течение 20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с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на гидравлическом стенде.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6.6 Методы контроля сварных швов - по ГОСТ 3242 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6.7 Контроль маркировки, окраски долот, наличие смазки ниппеля и в опорах, отсутствия сколов наплавленного слоя у долот со стальными зубьями, расколотых или имеющих частичные сколы твердосплавных зубков, также по 4.16 - 4.18 проводят визуально.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7 Транспортирование и хранение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7.1 Транспортирование долот должно осуществляться любым видом транспорта с соблюдением правил перевозки, действующих на этих видах транспорта при условии защиты долот от атмосферных осадков и механических повреждений.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7.2 Транспортная маркировка - по ГОСТ 14192 .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7.3 Долота следует хранить в сухих закрытых помещениях. Группа условий хранения - 6 (ОЖ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2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) по ГОСТ 15150 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8 Указания по эксплуатации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8.1 Соединение долота с бурильной трубой должно осуществляться с использованием специального приспособления, имеющего конфигурацию долота, и машинного ключа, </w:t>
      </w:r>
      <w:proofErr w:type="gram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обеспечивающих</w:t>
      </w:r>
      <w:proofErr w:type="gram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сохранность долота при навинчивании.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9 Гарантии изготовителя</w:t>
      </w:r>
    </w:p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9.1 Изготовитель должен гарантировать соответствие долот требованиям настоящего стандарта при соблюдении правил транспортирования, хранения и эксплуатации.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ПРИЛОЖЕНИЕ А</w:t>
      </w:r>
    </w:p>
    <w:p w:rsidR="00920434" w:rsidRPr="00920434" w:rsidRDefault="00920434" w:rsidP="0092043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(справочное)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lastRenderedPageBreak/>
        <w:t xml:space="preserve">Соответствие обозначений присоединительной резьбы по настоящему стандарту и спецификации 7 Американского нефтяного института </w:t>
      </w:r>
      <w:proofErr w:type="gramStart"/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 xml:space="preserve">( </w:t>
      </w:r>
      <w:proofErr w:type="gramEnd"/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 xml:space="preserve">API </w:t>
      </w:r>
      <w:proofErr w:type="spellStart"/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>Spec</w:t>
      </w:r>
      <w:proofErr w:type="spellEnd"/>
      <w:r w:rsidRPr="00920434">
        <w:rPr>
          <w:rFonts w:ascii="Arial" w:eastAsia="Times New Roman" w:hAnsi="Arial" w:cs="Arial"/>
          <w:b/>
          <w:bCs/>
          <w:color w:val="606060"/>
          <w:kern w:val="36"/>
          <w:sz w:val="48"/>
          <w:szCs w:val="48"/>
          <w:lang w:eastAsia="ru-RU"/>
        </w:rPr>
        <w:t xml:space="preserve"> 7)</w:t>
      </w:r>
    </w:p>
    <w:tbl>
      <w:tblPr>
        <w:tblW w:w="5000" w:type="pct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8"/>
        <w:gridCol w:w="4785"/>
      </w:tblGrid>
      <w:tr w:rsidR="00920434" w:rsidRPr="00920434" w:rsidTr="00920434">
        <w:trPr>
          <w:tblHeader/>
          <w:tblCellSpacing w:w="7" w:type="dxa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Обозначение присоединительной резьбы </w:t>
            </w: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по</w:t>
            </w:r>
            <w:proofErr w:type="gramEnd"/>
          </w:p>
        </w:tc>
      </w:tr>
      <w:tr w:rsidR="00920434" w:rsidRPr="00920434" w:rsidTr="00920434">
        <w:trPr>
          <w:tblHeader/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настоящему стандарту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АР I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Spec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7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-66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3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З-76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7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З-88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1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2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З-117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4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1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2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З-121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4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1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2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FH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З-152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6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5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З-171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6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5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FH</w:t>
            </w:r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З-177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7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5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  <w:tr w:rsidR="00920434" w:rsidRPr="00920434" w:rsidTr="00920434">
        <w:trPr>
          <w:tblCellSpacing w:w="7" w:type="dxa"/>
        </w:trPr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З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-201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jc w:val="center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perscript"/>
                <w:lang w:eastAsia="ru-RU"/>
              </w:rPr>
              <w:t>5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/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bdr w:val="none" w:sz="0" w:space="0" w:color="auto" w:frame="1"/>
                <w:vertAlign w:val="subscript"/>
                <w:lang w:eastAsia="ru-RU"/>
              </w:rPr>
              <w:t>8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Reg</w:t>
            </w:r>
            <w:proofErr w:type="spellEnd"/>
          </w:p>
        </w:tc>
      </w:tr>
    </w:tbl>
    <w:p w:rsidR="00920434" w:rsidRPr="00920434" w:rsidRDefault="00920434" w:rsidP="00920434">
      <w:pPr>
        <w:shd w:val="clear" w:color="auto" w:fill="FFFFFF"/>
        <w:spacing w:line="240" w:lineRule="auto"/>
        <w:rPr>
          <w:rFonts w:ascii="Arial" w:eastAsia="Times New Roman" w:hAnsi="Arial" w:cs="Arial"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bdr w:val="none" w:sz="0" w:space="0" w:color="auto" w:frame="1"/>
          <w:lang w:eastAsia="ru-RU"/>
        </w:rPr>
        <w:t>Ключевые слова:</w:t>
      </w:r>
      <w:r w:rsidRPr="00920434">
        <w:rPr>
          <w:rFonts w:ascii="Arial" w:eastAsia="Times New Roman" w:hAnsi="Arial" w:cs="Arial"/>
          <w:color w:val="606060"/>
          <w:sz w:val="24"/>
          <w:szCs w:val="24"/>
          <w:lang w:eastAsia="ru-RU"/>
        </w:rPr>
        <w:t> </w:t>
      </w:r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шарошечные долота, сплошное бурение скважин, </w:t>
      </w:r>
      <w:proofErr w:type="spellStart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>разновысотность</w:t>
      </w:r>
      <w:proofErr w:type="spellEnd"/>
      <w:r w:rsidRPr="00920434">
        <w:rPr>
          <w:rFonts w:ascii="Arial" w:eastAsia="Times New Roman" w:hAnsi="Arial" w:cs="Arial"/>
          <w:color w:val="606060"/>
          <w:sz w:val="20"/>
          <w:szCs w:val="20"/>
          <w:lang w:eastAsia="ru-RU"/>
        </w:rPr>
        <w:t xml:space="preserve"> шарошек, радиальное биение шарошек</w:t>
      </w:r>
    </w:p>
    <w:p w:rsidR="00920434" w:rsidRPr="00920434" w:rsidRDefault="00920434" w:rsidP="00920434">
      <w:pPr>
        <w:shd w:val="clear" w:color="auto" w:fill="FFFFFF"/>
        <w:spacing w:line="240" w:lineRule="auto"/>
        <w:outlineLvl w:val="3"/>
        <w:rPr>
          <w:rFonts w:ascii="Arial" w:eastAsia="Times New Roman" w:hAnsi="Arial" w:cs="Arial"/>
          <w:b/>
          <w:bCs/>
          <w:color w:val="606060"/>
          <w:sz w:val="20"/>
          <w:szCs w:val="20"/>
          <w:lang w:eastAsia="ru-RU"/>
        </w:rPr>
      </w:pPr>
      <w:r w:rsidRPr="00920434">
        <w:rPr>
          <w:rFonts w:ascii="Arial" w:eastAsia="Times New Roman" w:hAnsi="Arial" w:cs="Arial"/>
          <w:b/>
          <w:bCs/>
          <w:color w:val="606060"/>
          <w:sz w:val="20"/>
          <w:szCs w:val="20"/>
          <w:lang w:eastAsia="ru-RU"/>
        </w:rPr>
        <w:t>СОДЕРЖАНИЕ</w:t>
      </w:r>
    </w:p>
    <w:tbl>
      <w:tblPr>
        <w:tblW w:w="0" w:type="auto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13"/>
      </w:tblGrid>
      <w:tr w:rsidR="00920434" w:rsidRPr="00920434" w:rsidTr="00920434">
        <w:trPr>
          <w:tblCellSpacing w:w="7" w:type="dxa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1 Область применения . 1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2 Нормативные ссылки . 1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3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hyperlink r:id="rId24" w:tooltip="Классификация" w:history="1">
              <w:r w:rsidRPr="00920434">
                <w:rPr>
                  <w:rFonts w:ascii="Arial" w:eastAsia="Times New Roman" w:hAnsi="Arial" w:cs="Arial"/>
                  <w:color w:val="006600"/>
                  <w:sz w:val="20"/>
                  <w:szCs w:val="20"/>
                  <w:u w:val="single"/>
                  <w:bdr w:val="none" w:sz="0" w:space="0" w:color="auto" w:frame="1"/>
                  <w:lang w:eastAsia="ru-RU"/>
                </w:rPr>
                <w:t>Классификация</w:t>
              </w:r>
            </w:hyperlink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и основные размеры .. 2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4 Технические требования . 3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5 Правила</w:t>
            </w:r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hyperlink r:id="rId25" w:tooltip="Приемка" w:history="1">
              <w:r w:rsidRPr="00920434">
                <w:rPr>
                  <w:rFonts w:ascii="Arial" w:eastAsia="Times New Roman" w:hAnsi="Arial" w:cs="Arial"/>
                  <w:color w:val="006600"/>
                  <w:sz w:val="20"/>
                  <w:szCs w:val="20"/>
                  <w:u w:val="single"/>
                  <w:bdr w:val="none" w:sz="0" w:space="0" w:color="auto" w:frame="1"/>
                  <w:lang w:eastAsia="ru-RU"/>
                </w:rPr>
                <w:t>приемки</w:t>
              </w:r>
            </w:hyperlink>
            <w:r w:rsidRPr="00920434">
              <w:rPr>
                <w:rFonts w:ascii="Arial" w:eastAsia="Times New Roman" w:hAnsi="Arial" w:cs="Arial"/>
                <w:color w:val="606060"/>
                <w:sz w:val="24"/>
                <w:szCs w:val="24"/>
                <w:lang w:eastAsia="ru-RU"/>
              </w:rPr>
              <w:t> </w:t>
            </w: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. 5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6 Методы контроля . 5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7 Транспортирование и хранение . 5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8 Указания по эксплуатации . 6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9 Гарантии изготовителя . 6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ПРИЛОЖЕНИЕ А .. 6</w:t>
            </w:r>
          </w:p>
          <w:p w:rsidR="00920434" w:rsidRPr="00920434" w:rsidRDefault="00920434" w:rsidP="00920434">
            <w:pPr>
              <w:spacing w:line="240" w:lineRule="auto"/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</w:pPr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Соответствие обозначений присоединительной резьбы по настоящему стандарту и спецификации 7 Американского нефтяного института </w:t>
            </w:r>
            <w:proofErr w:type="gram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( </w:t>
            </w:r>
            <w:proofErr w:type="gram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API </w:t>
            </w:r>
            <w:proofErr w:type="spellStart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>Spec</w:t>
            </w:r>
            <w:proofErr w:type="spellEnd"/>
            <w:r w:rsidRPr="00920434">
              <w:rPr>
                <w:rFonts w:ascii="Arial" w:eastAsia="Times New Roman" w:hAnsi="Arial" w:cs="Arial"/>
                <w:color w:val="606060"/>
                <w:sz w:val="20"/>
                <w:szCs w:val="20"/>
                <w:lang w:eastAsia="ru-RU"/>
              </w:rPr>
              <w:t xml:space="preserve"> 7) 6</w:t>
            </w:r>
          </w:p>
        </w:tc>
      </w:tr>
    </w:tbl>
    <w:p w:rsidR="00920434" w:rsidRPr="00920434" w:rsidRDefault="00920434" w:rsidP="0092043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20434">
        <w:rPr>
          <w:rFonts w:ascii="Arial" w:eastAsia="Times New Roman" w:hAnsi="Arial" w:cs="Arial"/>
          <w:color w:val="606060"/>
          <w:sz w:val="20"/>
          <w:szCs w:val="20"/>
          <w:bdr w:val="none" w:sz="0" w:space="0" w:color="auto" w:frame="1"/>
          <w:shd w:val="clear" w:color="auto" w:fill="FFFFFF"/>
          <w:lang w:eastAsia="ru-RU"/>
        </w:rPr>
        <w:br/>
        <w:t>Источник:</w:t>
      </w:r>
      <w:hyperlink r:id="rId26" w:history="1">
        <w:r w:rsidRPr="00920434">
          <w:rPr>
            <w:rFonts w:ascii="Arial" w:eastAsia="Times New Roman" w:hAnsi="Arial" w:cs="Arial"/>
            <w:color w:val="006600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ru-RU"/>
          </w:rPr>
          <w:t>http://www.znaytovar.ru/gost/2/GOST_206922003_Dolota_sharoshe.html</w:t>
        </w:r>
      </w:hyperlink>
    </w:p>
    <w:p w:rsidR="00786541" w:rsidRDefault="00786541"/>
    <w:sectPr w:rsidR="00786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434"/>
    <w:rsid w:val="00786541"/>
    <w:rsid w:val="007A7C64"/>
    <w:rsid w:val="00920434"/>
    <w:rsid w:val="00F962B6"/>
    <w:rsid w:val="00FE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C64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04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0434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962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C64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04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0434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962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6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naytovar.ru/s/Syre_i_proizvodstvo_kofe.html" TargetMode="External"/><Relationship Id="rId13" Type="http://schemas.openxmlformats.org/officeDocument/2006/relationships/hyperlink" Target="http://www.znaytovar.ru/gost/2/GOST_230879_ESKD_Ukazanie_na_c.html" TargetMode="External"/><Relationship Id="rId18" Type="http://schemas.openxmlformats.org/officeDocument/2006/relationships/image" Target="media/image5.gif"/><Relationship Id="rId26" Type="http://schemas.openxmlformats.org/officeDocument/2006/relationships/hyperlink" Target="http://www.znaytovar.ru/gost/2/GOST_206922003_Dolota_sharosh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znaytovar.ru/s/Puzyri.html" TargetMode="External"/><Relationship Id="rId7" Type="http://schemas.openxmlformats.org/officeDocument/2006/relationships/hyperlink" Target="http://www.znaytovar.ru/gost/2/GOST_152001_Mezhgosudarstvenna.html" TargetMode="External"/><Relationship Id="rId12" Type="http://schemas.openxmlformats.org/officeDocument/2006/relationships/hyperlink" Target="http://www.znaytovar.ru/s/Osnovnye_faktory_vneshnej_sredy.html" TargetMode="External"/><Relationship Id="rId17" Type="http://schemas.openxmlformats.org/officeDocument/2006/relationships/image" Target="media/image4.gif"/><Relationship Id="rId25" Type="http://schemas.openxmlformats.org/officeDocument/2006/relationships/hyperlink" Target="http://www.znaytovar.ru/s/Priemka_tovarov_na_sklade.ht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3.gif"/><Relationship Id="rId20" Type="http://schemas.openxmlformats.org/officeDocument/2006/relationships/hyperlink" Target="http://www.znaytovar.ru/new2467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znaytovar.ru/new1108.html" TargetMode="External"/><Relationship Id="rId11" Type="http://schemas.openxmlformats.org/officeDocument/2006/relationships/hyperlink" Target="http://www.znaytovar.ru/s/Xranenie_tovarov.html" TargetMode="External"/><Relationship Id="rId24" Type="http://schemas.openxmlformats.org/officeDocument/2006/relationships/hyperlink" Target="http://www.znaytovar.ru/s/Klassifikaciya-tovarov2.html" TargetMode="External"/><Relationship Id="rId5" Type="http://schemas.openxmlformats.org/officeDocument/2006/relationships/hyperlink" Target="http://www.znaytovar.ru/s/Standartizaciya.html" TargetMode="External"/><Relationship Id="rId15" Type="http://schemas.openxmlformats.org/officeDocument/2006/relationships/image" Target="media/image2.gif"/><Relationship Id="rId23" Type="http://schemas.openxmlformats.org/officeDocument/2006/relationships/hyperlink" Target="http://www.znaytovar.ru/new2614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znaytovar.ru/s/Protirochnye_mashiny.html" TargetMode="External"/><Relationship Id="rId19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hyperlink" Target="http://www.znaytovar.ru/new564.html" TargetMode="External"/><Relationship Id="rId14" Type="http://schemas.openxmlformats.org/officeDocument/2006/relationships/image" Target="media/image1.jpeg"/><Relationship Id="rId22" Type="http://schemas.openxmlformats.org/officeDocument/2006/relationships/hyperlink" Target="http://www.znaytovar.ru/s/Tovarnyj_znak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2690</Words>
  <Characters>15338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17993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2015-11-03T17:43:00Z</dcterms:created>
  <dcterms:modified xsi:type="dcterms:W3CDTF">2015-11-03T17:48:00Z</dcterms:modified>
</cp:coreProperties>
</file>