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Титул"/>
      </w:pPr>
      <w:r>
        <w:t xml:space="preserve">МИНИСТЕРСТВО НАУКИ И ВЫСШЕГО ОБРАЗОВАНИЯ РОССИЙСКОЙ ФЕДЕРАЦИИ</w:t>
      </w:r>
    </w:p>
    <w:p>
      <w:pPr>
        <w:pStyle w:val="Титул"/>
      </w:pPr>
      <w:r>
        <w:t xml:space="preserve">РОССИЙСКИЙ ГОСУДАРСТВЕННЫЙ УНИВЕРСИТЕТ НЕФТИ И ГАЗА</w:t>
      </w:r>
      <w:r>
        <w:t xml:space="preserve"> </w:t>
      </w:r>
      <w:r>
        <w:t xml:space="preserve">(НАЦИОНАЛЬНЫЙ ИССЛЕДОВАТЕЛЬСКИЙ УНИВЕРСИТЕТ)</w:t>
      </w:r>
      <w:r>
        <w:t xml:space="preserve"> </w:t>
      </w:r>
      <w:r>
        <w:t xml:space="preserve">ИМЕНИ И.М. ГУБКИНА</w:t>
      </w:r>
    </w:p>
    <w:p>
      <w:pPr>
        <w:pStyle w:val="Титул"/>
      </w:pPr>
      <w:r>
        <w:t xml:space="preserve">Кафедра бурения нефтяных и газовых скважин</w:t>
      </w:r>
    </w:p>
    <w:p>
      <w:pPr>
        <w:pStyle w:val="ТитулОтступ"/>
      </w:pPr>
      <w:r>
        <w:t xml:space="preserve"> </w:t>
      </w:r>
    </w:p>
    <w:p>
      <w:pPr>
        <w:pStyle w:val="ТитулЗаголовок"/>
      </w:pPr>
      <w:r>
        <w:t xml:space="preserve">ДОМАШНЕЕ ЗАДАНИЕ № 1</w:t>
      </w:r>
    </w:p>
    <w:p>
      <w:pPr>
        <w:pStyle w:val="Титул"/>
      </w:pPr>
      <w:r>
        <w:t xml:space="preserve">по дисциплине «Технология бурения скважин»</w:t>
      </w:r>
    </w:p>
    <w:p>
      <w:pPr>
        <w:pStyle w:val="Титул"/>
      </w:pPr>
      <w:r>
        <w:t xml:space="preserve">на тему: «Проектирование конструкции скважины»</w:t>
      </w:r>
    </w:p>
    <w:p>
      <w:pPr>
        <w:pStyle w:val="Титул"/>
      </w:pPr>
      <w:r>
        <w:t xml:space="preserve">Вариант 7</w:t>
      </w:r>
    </w:p>
    <w:p>
      <w:pPr>
        <w:pStyle w:val="ТитулОтступ"/>
      </w:pPr>
      <w:r>
        <w:t xml:space="preserve"> </w:t>
      </w:r>
    </w:p>
    <w:p>
      <w:pPr>
        <w:pStyle w:val="ТитулПодписи"/>
      </w:pPr>
      <w:r>
        <w:t xml:space="preserve">Выполнил: студент группы РТ‑23‑12</w:t>
      </w:r>
    </w:p>
    <w:p>
      <w:pPr>
        <w:pStyle w:val="ТитулПодписи"/>
      </w:pPr>
      <w:r>
        <w:rPr>
          <w:highlight w:val="yellow"/>
        </w:rPr>
        <w:t>Фамилия И.О.</w:t>
      </w:r>
    </w:p>
    <w:p>
      <w:pPr>
        <w:pStyle w:val="ТитулПодписи"/>
      </w:pPr>
      <w:r>
        <w:t xml:space="preserve"> </w:t>
      </w:r>
    </w:p>
    <w:p>
      <w:pPr>
        <w:pStyle w:val="ТитулПодписи"/>
      </w:pPr>
      <w:r>
        <w:t xml:space="preserve">Проверил: доцент, к.т.н.</w:t>
      </w:r>
    </w:p>
    <w:p>
      <w:pPr>
        <w:pStyle w:val="ТитулПодписи"/>
      </w:pPr>
      <w:r>
        <w:t xml:space="preserve">Балицкий В.П.</w:t>
      </w:r>
    </w:p>
    <w:p>
      <w:pPr>
        <w:pStyle w:val="ТитулОтступ"/>
      </w:pPr>
      <w:r>
        <w:t xml:space="preserve"> </w:t>
      </w:r>
    </w:p>
    <w:p>
      <w:pPr>
        <w:pStyle w:val="Титул"/>
      </w:pPr>
      <w:r>
        <w:t xml:space="preserve">Москва 2026</w:t>
      </w:r>
    </w:p>
    <w:p>
      <w:r>
        <w:br w:type="page"/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Конструкция скважины — совокупность данных о числе и глубинах спуска обсадных колонн, их диаметрах, диаметрах долот для бурения каждого интервала и интервалах цементирования. Проектирование конструкции — один из основных разделов рабочего проекта на строительство скважины: от него зависят безаварийность проводки, качество разобщения пластов и долговечность скважины.</w:t>
      </w:r>
    </w:p>
    <w:p>
      <w:pPr>
        <w:pStyle w:val="BodyText"/>
      </w:pPr>
      <w:r>
        <w:t xml:space="preserve">Цель работы — спроектировать конструкцию газовой скважины глубиной 2100 м по заданным геолого-техническим условиям (вариант 7). Для этого необходимо:</w:t>
      </w:r>
    </w:p>
    <w:p>
      <w:pPr>
        <w:numPr>
          <w:ilvl w:val="0"/>
          <w:numId w:val="1001"/>
        </w:numPr>
      </w:pPr>
      <w:r>
        <w:t xml:space="preserve">рассчитать индексы давлений;</w:t>
      </w:r>
    </w:p>
    <w:p>
      <w:pPr>
        <w:numPr>
          <w:ilvl w:val="0"/>
          <w:numId w:val="1001"/>
        </w:numPr>
      </w:pPr>
      <w:r>
        <w:t xml:space="preserve">построить совмещённый график давлений;</w:t>
      </w:r>
    </w:p>
    <w:p>
      <w:pPr>
        <w:numPr>
          <w:ilvl w:val="0"/>
          <w:numId w:val="1001"/>
        </w:numPr>
      </w:pPr>
      <w:r>
        <w:t xml:space="preserve">определить число и глубины спуска обсадных колонн;</w:t>
      </w:r>
    </w:p>
    <w:p>
      <w:pPr>
        <w:numPr>
          <w:ilvl w:val="0"/>
          <w:numId w:val="1001"/>
        </w:numPr>
      </w:pPr>
      <w:r>
        <w:t xml:space="preserve">выбрать и обосновать интервалы цементирования обсадных колонн;</w:t>
      </w:r>
    </w:p>
    <w:p>
      <w:pPr>
        <w:numPr>
          <w:ilvl w:val="0"/>
          <w:numId w:val="1001"/>
        </w:numPr>
      </w:pPr>
      <w:r>
        <w:t xml:space="preserve">рассчитать диаметры долот и обсадных колонн;</w:t>
      </w:r>
    </w:p>
    <w:p>
      <w:pPr>
        <w:numPr>
          <w:ilvl w:val="0"/>
          <w:numId w:val="1001"/>
        </w:numPr>
      </w:pPr>
      <w:r>
        <w:t xml:space="preserve">нарисовать схему конструкции скважины;</w:t>
      </w:r>
    </w:p>
    <w:p>
      <w:pPr>
        <w:numPr>
          <w:ilvl w:val="0"/>
          <w:numId w:val="1001"/>
        </w:numPr>
      </w:pPr>
      <w:r>
        <w:t xml:space="preserve">выбрать диаметры долот и обсадных колонн по зарубежной методике и сравнить результаты с отечественной методикой.</w:t>
      </w:r>
    </w:p>
    <w:p>
      <w:pPr>
        <w:pStyle w:val="FirstParagraph"/>
      </w:pPr>
      <w:r>
        <w:t xml:space="preserve">Все расчёты выполнены в Excel (прилагаемый файл с расчётами), в записке приведены расчётные формулы, результаты и их обоснование.</w:t>
      </w:r>
    </w:p>
    <w:p>
      <w:r>
        <w:br w:type="page"/>
      </w:r>
    </w:p>
    <w:bookmarkEnd w:id="20"/>
    <w:bookmarkStart w:id="21" w:name="исходные-данны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Исходные данные</w:t>
      </w:r>
    </w:p>
    <w:p>
      <w:pPr>
        <w:pStyle w:val="FirstParagraph"/>
      </w:pPr>
      <w:r>
        <w:t xml:space="preserve">Назначение скважины — газовая. Глубина скважины — 2100 м. Диаметр эксплуатационной колонны — 114,3 мм. До глубины 250 м разрез сложен неустойчивыми породами, склонными к поглощениям. Сведения о горных породах и давлениях приведены в таблице 1.</w:t>
      </w:r>
    </w:p>
    <w:p>
      <w:pPr>
        <w:pStyle w:val="ПодписьТаблицы"/>
      </w:pPr>
      <w:r>
        <w:t xml:space="preserve">Таблица 1 – Геологический разрез и давления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Интервал, 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Порода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Пластовое давление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, МПа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Давление поглощения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t>R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, МПа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0–800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алевролит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9,6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800–1000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глина голубая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8,8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12,5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1000–1900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песчаник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23,8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28,5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1900–2100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известняк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27,3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30,5</w:t>
            </w:r>
          </w:p>
        </w:tc>
      </w:tr>
    </w:tbl>
    <w:p>
      <w:pPr>
        <w:pStyle w:val="BodyText"/>
        <w:spacing w:before="160"/>
      </w:pPr>
      <w:r>
        <w:t xml:space="preserve">Давления в таблице отнесены к подошве соответствующего интервала (глубине</w:t>
      </w:r>
      <w:r>
        <w:t xml:space="preserve"> </w:t>
      </w:r>
      <m:oMath>
        <m:r>
          <m:t>z</m:t>
        </m:r>
      </m:oMath>
      <w:r>
        <w:t xml:space="preserve">, равной нижней границе интервала).</w:t>
      </w:r>
    </w:p>
    <w:bookmarkEnd w:id="21"/>
    <w:bookmarkStart w:id="22" w:name="расчёт-индексов-давлений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Расчёт индексов давлений</w:t>
      </w:r>
    </w:p>
    <w:p>
      <w:pPr>
        <w:pStyle w:val="FirstParagraph"/>
      </w:pPr>
      <w:r>
        <w:t xml:space="preserve">Коэффициент аномальности пластового давления и индекс давления поглощения рассчитываются по формулам: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g</m:t>
              </m:r>
              <m:r>
                <m:rPr>
                  <m:sty m:val="p"/>
                </m:rPr>
                <m:t>⋅</m:t>
              </m:r>
              <m:r>
                <m:t>z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F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t>R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g</m:t>
              </m:r>
              <m:r>
                <m:rPr>
                  <m:sty m:val="p"/>
                </m:rPr>
                <m:t>⋅</m:t>
              </m:r>
              <m:r>
                <m:t>z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— пластовое давление на глубине</w:t>
      </w:r>
      <w:r>
        <w:t xml:space="preserve"> </w:t>
      </w:r>
      <m:oMath>
        <m:r>
          <m:t>z</m:t>
        </m:r>
      </m:oMath>
      <w:r>
        <w:t xml:space="preserve">, Па;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  <m:r>
              <m:t>R</m:t>
            </m:r>
          </m:sub>
        </m:sSub>
      </m:oMath>
      <w:r>
        <w:t xml:space="preserve"> </w:t>
      </w:r>
      <w:r>
        <w:t xml:space="preserve">— давление поглощения, Па;</w:t>
      </w:r>
      <w:r>
        <w:t xml:space="preserve"> </w:t>
      </w:r>
      <m:oMath>
        <m:sSub>
          <m:e>
            <m:r>
              <m:t>ρ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кг/м³ — плотность воды;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81</m:t>
        </m:r>
      </m:oMath>
      <w:r>
        <w:t xml:space="preserve"> </w:t>
      </w:r>
      <w:r>
        <w:t xml:space="preserve">м/с² — ускорение свободного падения;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— глубина, м.</w:t>
      </w:r>
    </w:p>
    <w:p>
      <w:pPr>
        <w:pStyle w:val="BodyText"/>
      </w:pPr>
      <w:r>
        <w:t xml:space="preserve">Относительная плотность бурового раствора по Правилам безопасности [4, п. 2.7.3.3] должна обеспечивать превышение гидростатического давления над пластовым не менее чем на 10 % в интервале 0–1200 м и на 5 % — ниже 1200 м: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— коэффициент безопасности: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z</m:t>
        </m:r>
        <m:r>
          <m:rPr>
            <m:sty m:val="p"/>
          </m:rPr>
          <m:t>&lt;</m:t>
        </m:r>
        <m:r>
          <m:t>1200</m:t>
        </m:r>
      </m:oMath>
      <w:r>
        <w:t xml:space="preserve"> </w:t>
      </w:r>
      <w:r>
        <w:t xml:space="preserve">м;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1200</m:t>
        </m:r>
      </m:oMath>
      <w:r>
        <w:t xml:space="preserve"> </w:t>
      </w:r>
      <w:r>
        <w:t xml:space="preserve">м.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ρ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плотность бурового раствора, кг/м³.</w:t>
      </w:r>
    </w:p>
    <w:p>
      <w:pPr>
        <w:pStyle w:val="BodyText"/>
      </w:pPr>
      <w:r>
        <w:t xml:space="preserve">Пример расчёта для интервала 0–800 м: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1000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81</m:t>
              </m:r>
              <m:r>
                <m:rPr>
                  <m:sty m:val="p"/>
                </m:rPr>
                <m:t>⋅</m:t>
              </m:r>
              <m:r>
                <m:t>800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019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K</m:t>
              </m:r>
            </m:e>
            <m:sub>
              <m:r>
                <m:t>F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1000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81</m:t>
              </m:r>
              <m:r>
                <m:rPr>
                  <m:sty m:val="p"/>
                </m:rPr>
                <m:t>⋅</m:t>
              </m:r>
              <m:r>
                <m:t>800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223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,</m:t>
          </m:r>
          <m:r>
            <m:t>019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121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ρ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121</m:t>
          </m:r>
          <m:r>
            <m:rPr>
              <m:sty m:val="p"/>
            </m:rPr>
            <m:t>⋅</m:t>
          </m:r>
          <m:r>
            <m:t>1000</m:t>
          </m:r>
          <m:r>
            <m:rPr>
              <m:sty m:val="p"/>
            </m:rPr>
            <m:t>=</m:t>
          </m:r>
          <m:r>
            <m:t>1121</m:t>
          </m:r>
          <m:r>
            <m:t> </m:t>
          </m:r>
          <m:sSup>
            <m:e>
              <m:r>
                <m:rPr>
                  <m:nor/>
                  <m:sty m:val="p"/>
                </m:rPr>
                <m:t>кг/м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Песчаник (1000–1900 м) пересекает границу 1200 м, поэтому для него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рассчитана отдельно для участков 1000–1200 м (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</m:t>
        </m:r>
      </m:oMath>
      <w:r>
        <w:t xml:space="preserve">) и 1200–1900 м (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05</m:t>
        </m:r>
      </m:oMath>
      <w:r>
        <w:t xml:space="preserve">). Результаты расчёта для всех интервалов приведены в таблице 2.</w:t>
      </w:r>
    </w:p>
    <w:p>
      <w:pPr>
        <w:pStyle w:val="ПодписьТаблицы"/>
      </w:pPr>
      <w:r>
        <w:t xml:space="preserve">Таблица 2 – Индексы давлений и относительная плотность бурового раствора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Интервал, 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, кг/м³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R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0–800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1,019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1,223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1,121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1121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800–1000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0,897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1,274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0,987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987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1000–1200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1,277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1,529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1200–1900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1,277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1,529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1,341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1341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1900–2100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1,325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1,481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1,391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1391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да</w:t>
            </w:r>
          </w:p>
        </w:tc>
      </w:tr>
    </w:tbl>
    <w:p>
      <w:pPr>
        <w:pStyle w:val="BodyText"/>
        <w:spacing w:before="160"/>
      </w:pPr>
      <w:r>
        <w:t xml:space="preserve">Условие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F</m:t>
            </m:r>
            <m:r>
              <m:t>R</m:t>
            </m:r>
          </m:sub>
        </m:sSub>
      </m:oMath>
      <w:r>
        <w:t xml:space="preserve"> </w:t>
      </w:r>
      <w:r>
        <w:t xml:space="preserve">выполняется в каждом интервале по отдельности. В интервале 800–1000 м пластовое давление ниже гидростатического (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897</m:t>
        </m:r>
      </m:oMath>
      <w:r>
        <w:t xml:space="preserve">), поэтому формально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; фактически этот интервал бурится раствором вышележащего интервала (см. раздел 3).</w:t>
      </w:r>
    </w:p>
    <w:bookmarkEnd w:id="22"/>
    <w:bookmarkStart w:id="26" w:name="совмещённый-график-давлений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Совмещённый график давлений</w:t>
      </w:r>
    </w:p>
    <w:p>
      <w:pPr>
        <w:pStyle w:val="FirstParagraph"/>
      </w:pPr>
      <w:r>
        <w:t xml:space="preserve">По данным таблицы 2 построен совмещённый график давлений (рисунок 1) — зависимости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  <m:r>
              <m:t>R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от глубины. Для каждого необсаженного участка ствола должно выполняться условие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t>F</m:t>
              </m:r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</m:oMath>
      </m:oMathPara>
    </w:p>
    <w:p>
      <w:pPr>
        <w:pStyle w:val="FirstParagraph"/>
      </w:pPr>
      <w:r>
        <w:t xml:space="preserve">причём весь открытый ствол бурится раствором одной плотности: если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</m:oMath>
      <w:r>
        <w:t xml:space="preserve">, необходимая для нижнего интервала, больше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  <m:r>
              <m:t>R</m:t>
            </m:r>
          </m:sub>
        </m:sSub>
      </m:oMath>
      <w:r>
        <w:t xml:space="preserve"> </w:t>
      </w:r>
      <w:r>
        <w:t xml:space="preserve">какого-либо вышележащего открытого интервала (поглощение) или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верхнего интервала меньше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нижнего (газопроявление), условия бурения несовместимы и верхний интервал необходимо перекрыть обсадной колонной.</w:t>
      </w:r>
    </w:p>
    <w:p>
      <w:pPr>
        <w:pStyle w:val="BodyText"/>
        <w:keepNext/>
        <w:spacing w:line="240" w:lineRule="auto" w:before="120"/>
        <w:ind w:firstLine="0"/>
        <w:jc w:val="center"/>
      </w:pPr>
      <w:r>
        <w:drawing>
          <wp:inline>
            <wp:extent cx="5334000" cy="559419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рисунки/рис1_совмещенный_график_давлений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4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 xml:space="preserve">Рисунок 1 – Совмещённый график давлений</w:t>
      </w:r>
    </w:p>
    <w:p>
      <w:pPr>
        <w:pStyle w:val="BodyText"/>
      </w:pPr>
      <w:r>
        <w:t xml:space="preserve">Анализ графика (снизу вверх):</w:t>
      </w:r>
    </w:p>
    <w:p>
      <w:pPr>
        <w:numPr>
          <w:ilvl w:val="0"/>
          <w:numId w:val="1002"/>
        </w:numPr>
      </w:pPr>
      <w:r>
        <w:t xml:space="preserve">Для бурения интервала 1000–2100 м необходима плотность, равная наибольшему значению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в нём: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405</m:t>
        </m:r>
      </m:oMath>
      <w:r>
        <w:t xml:space="preserve"> </w:t>
      </w:r>
      <w:r>
        <w:t xml:space="preserve">(участок 1000–1200 м). Она удовлетворяет условию (5) во всём интервале: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  <m:r>
              <m:t> 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325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405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F</m:t>
            </m:r>
            <m:r>
              <m:t>R</m:t>
            </m:r>
            <m:r>
              <m:t> </m:t>
            </m:r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481</m:t>
        </m:r>
      </m:oMath>
      <w:r>
        <w:t xml:space="preserve">. Следовательно, интервал 1000–2100 м можно бурить одним стволом.</w:t>
      </w:r>
    </w:p>
    <w:p>
      <w:pPr>
        <w:numPr>
          <w:ilvl w:val="0"/>
          <w:numId w:val="1002"/>
        </w:numPr>
      </w:pPr>
      <w:r>
        <w:t xml:space="preserve">Эта плотность больше индекса давления поглощения вышележащих пород: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223</m:t>
        </m:r>
      </m:oMath>
      <w:r>
        <w:t xml:space="preserve"> </w:t>
      </w:r>
      <w:r>
        <w:t xml:space="preserve">(0–800 м) и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274</m:t>
        </m:r>
      </m:oMath>
      <w:r>
        <w:t xml:space="preserve"> </w:t>
      </w:r>
      <w:r>
        <w:t xml:space="preserve">(800–1000 м) — при вскрытии песчаника с открытым стволом выше 1000 м произойдёт поглощение. Одновременно плотность, допустимая для интервала 0–1000 м (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121</m:t>
        </m:r>
      </m:oMath>
      <w:r>
        <w:t xml:space="preserve">), меньше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277</m:t>
        </m:r>
      </m:oMath>
      <w:r>
        <w:t xml:space="preserve"> </w:t>
      </w:r>
      <w:r>
        <w:t xml:space="preserve">песчаника — возникнет газопроявление. Условия бурения интервалов 0–1000 м и 1000–2100 м</w:t>
      </w:r>
      <w:r>
        <w:t xml:space="preserve"> </w:t>
      </w:r>
      <w:r>
        <w:rPr>
          <w:bCs/>
          <w:b/>
        </w:rPr>
        <w:t xml:space="preserve">несовместимы</w:t>
      </w:r>
      <w:r>
        <w:t xml:space="preserve">, интервал 0–1000 м перекрывается промежуточной колонной.</w:t>
      </w:r>
    </w:p>
    <w:p>
      <w:pPr>
        <w:numPr>
          <w:ilvl w:val="0"/>
          <w:numId w:val="1002"/>
        </w:numPr>
      </w:pPr>
      <w:r>
        <w:t xml:space="preserve">Интервал 0–1000 м бурится раствором с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121</m:t>
        </m:r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019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121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223</m:t>
        </m:r>
      </m:oMath>
      <w:r>
        <w:t xml:space="preserve"> </w:t>
      </w:r>
      <w:r>
        <w:t xml:space="preserve">— условия совместимы.</w:t>
      </w:r>
    </w:p>
    <w:p>
      <w:pPr>
        <w:pStyle w:val="ПодписьТаблицы"/>
      </w:pPr>
      <w:r>
        <w:t xml:space="preserve">Таблица 3 – Принятая плотность бурового раствора по интервалам бурения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Интервал бурения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Глубина, 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, кг/м³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 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 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Совместимость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под кондуктор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0–260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1,121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1121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1,019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1,223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под промежуточную колонну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260–1000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1,121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1121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1,019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1,223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под эксплуатационную колонну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1000–2100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1,325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1,481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да</w:t>
            </w:r>
          </w:p>
        </w:tc>
      </w:tr>
    </w:tbl>
    <w:p>
      <w:pPr>
        <w:pStyle w:val="BodyText"/>
        <w:spacing w:before="160"/>
      </w:pPr>
      <w:r>
        <w:t xml:space="preserve">Проверка принятых плотностей по Правилам безопасности [4, п. 2.7.3.3–2.7.3.4] — превышение гидростатического давления над пластовым и отсутствие поглощения — выполнена на подошве каждого интервала (таблица 4):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г</m:t>
              </m:r>
              <m:r>
                <m:t>с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ρ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⋅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ρ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⋅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г</m:t>
              </m:r>
              <m:r>
                <m:t>с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</m:oMath>
      </m:oMathPara>
    </w:p>
    <w:p>
      <w:pPr>
        <w:pStyle w:val="ПодписьТаблицы"/>
      </w:pPr>
      <w:r>
        <w:t xml:space="preserve">Таблица 4 – Проверка репрессии и отсутствия поглощения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r>
                <m:t>z</m:t>
              </m:r>
            </m:oMath>
            <w:r>
              <w:rPr>
                <w:rFonts w:ascii="Times New Roman" w:hAnsi="Times New Roman"/>
                <w:b/>
                <w:sz w:val="24"/>
              </w:rPr>
              <w:t xml:space="preserve">, 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, МПа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г</m:t>
                  </m:r>
                  <m:r>
                    <m:t>с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, МПа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t>R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, МПа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r>
                <m:t>Δ</m:t>
              </m:r>
              <m:r>
                <m:t>P</m:t>
              </m:r>
            </m:oMath>
            <w:r>
              <w:rPr>
                <w:rFonts w:ascii="Times New Roman" w:hAnsi="Times New Roman"/>
                <w:b/>
                <w:sz w:val="24"/>
              </w:rPr>
              <w:t xml:space="preserve">, МПа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Репрессия, %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Требуется, %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1,121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8,00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8,80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9,60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0,80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1,121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8,80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11,00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12,50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2,20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25,0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15,03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16,53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18,00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1,50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23,80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26,18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28,50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2,38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2100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27,30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28,94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30,50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1,64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</w:tr>
    </w:tbl>
    <w:p>
      <w:pPr>
        <w:pStyle w:val="BodyText"/>
        <w:spacing w:before="160"/>
      </w:pPr>
      <w:r>
        <w:t xml:space="preserve">Во всех интервалах репрессия не меньше нормативной, гидростатическое давление меньше давления поглощения, а превышение над пластовым давлением не более 2,38 МПа, что не превышает допустимых 2,5–3,0 МПа для скважин глубже 1200 м.</w:t>
      </w:r>
    </w:p>
    <w:bookmarkEnd w:id="26"/>
    <w:bookmarkStart w:id="27" w:name="число-и-глубины-спуска-обсадных-колонн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Число и глубины спуска обсадных колонн</w:t>
      </w:r>
    </w:p>
    <w:p>
      <w:pPr>
        <w:pStyle w:val="FirstParagraph"/>
      </w:pPr>
      <w:r>
        <w:t xml:space="preserve">По результатам анализа совмещённого графика давлений и геологических условий принята конструкция из трёх обсадных колонн: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Кондуктор — 260 м.</w:t>
      </w:r>
      <w:r>
        <w:t xml:space="preserve"> </w:t>
      </w:r>
      <w:r>
        <w:t xml:space="preserve">До глубины 250 м разрез сложен неустойчивыми породами, склонными к поглощениям; их необходимо перекрыть в первую очередь. Башмак устанавливается на 10 м ниже, в устойчивых породах (алевролит), — 260 м. Кондуктор также служит для установки противовыбросового оборудования.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Промежуточная колонна — 1000 м.</w:t>
      </w:r>
      <w:r>
        <w:t xml:space="preserve"> </w:t>
      </w:r>
      <w:r>
        <w:t xml:space="preserve">Перекрывает интервал 0–1000 м, несовместимый по условиям бурения с нижележащим песчаником с аномально высоким пластовым давлением (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277</m:t>
        </m:r>
      </m:oMath>
      <w:r>
        <w:t xml:space="preserve">). Башмак устанавливается в подошве голубых глин (непроницаемые породы) на границе с песчаником. Спускать колонну ниже 1000 м нельзя: углубление в песчаник раствором плотностью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121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277</m:t>
        </m:r>
      </m:oMath>
      <w:r>
        <w:t xml:space="preserve"> </w:t>
      </w:r>
      <w:r>
        <w:t xml:space="preserve">приведёт к газопроявлению.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Эксплуатационная колонна — 2100 м</w:t>
      </w:r>
      <w:r>
        <w:t xml:space="preserve"> </w:t>
      </w:r>
      <w:r>
        <w:t xml:space="preserve">(до проектной глубины), диаметр 114,3 мм задан.</w:t>
      </w:r>
    </w:p>
    <w:bookmarkEnd w:id="27"/>
    <w:bookmarkStart w:id="28" w:name="интервалы-цементирования-обсадных-колонн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Интервалы цементирования обсадных колонн</w:t>
      </w:r>
    </w:p>
    <w:p>
      <w:pPr>
        <w:pStyle w:val="FirstParagraph"/>
      </w:pPr>
      <w:r>
        <w:t xml:space="preserve">Интервалы цементирования выбраны по Правилам безопасности [4]:</w:t>
      </w:r>
    </w:p>
    <w:p>
      <w:pPr>
        <w:numPr>
          <w:ilvl w:val="0"/>
          <w:numId w:val="1004"/>
        </w:numPr>
      </w:pPr>
      <w:r>
        <w:t xml:space="preserve">п. 2.7.4.10 — направление и кондуктор цементируются до устья; цементированию подлежат продуктивные горизонты, водоносные и проницаемые горизонты, интервалы пород, склонных к деформациям;</w:t>
      </w:r>
    </w:p>
    <w:p>
      <w:pPr>
        <w:numPr>
          <w:ilvl w:val="0"/>
          <w:numId w:val="1004"/>
        </w:numPr>
      </w:pPr>
      <w:r>
        <w:t xml:space="preserve">п. 2.7.4.11 — высота подъёма тампонажного раствора над кровлей продуктивных горизонтов и над башмаком предыдущей обсадной колонны в</w:t>
      </w:r>
      <w:r>
        <w:t xml:space="preserve"> </w:t>
      </w:r>
      <w:r>
        <w:rPr>
          <w:bCs/>
          <w:b/>
        </w:rPr>
        <w:t xml:space="preserve">газовых</w:t>
      </w:r>
      <w:r>
        <w:t xml:space="preserve"> </w:t>
      </w:r>
      <w:r>
        <w:t xml:space="preserve">скважинах — не менее 500 м;</w:t>
      </w:r>
    </w:p>
    <w:p>
      <w:pPr>
        <w:numPr>
          <w:ilvl w:val="0"/>
          <w:numId w:val="1004"/>
        </w:numPr>
      </w:pPr>
      <w:r>
        <w:t xml:space="preserve">разрыв сплошности цементного кольца по высоте не допускается.</w:t>
      </w:r>
    </w:p>
    <w:p>
      <w:pPr>
        <w:pStyle w:val="ПодписьТаблицы"/>
      </w:pPr>
      <w:r>
        <w:t xml:space="preserve">Таблица 5 – Интервалы цементирования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84"/>
        <w:gridCol w:w="2084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Колонна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Глубина спуска, 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Интервал цементирования, 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Кондуктор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260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0–260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до устья (п. 2.7.4.10)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Промежуточная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0–1000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260 − 500 &lt; 0 — подъём цемента до устья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Эксплуатационная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2100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500–2100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на 500 м выше башмака промежуточной колонны (1000 − 500 = 500 м)</w:t>
            </w:r>
          </w:p>
        </w:tc>
      </w:tr>
    </w:tbl>
    <w:p>
      <w:pPr>
        <w:pStyle w:val="BodyText"/>
        <w:spacing w:before="160"/>
      </w:pPr>
      <w:r>
        <w:t xml:space="preserve">Цементное кольцо эксплуатационной колонны (500–2100 м, высота 1600 м) перекрывает продуктивный известняк (1900–2100 м) с запасом 1400 м над его кровлей (больше требуемых 500 м) и проницаемый песчаник с АВПД (1000–1900 м); перекрытие с промежуточной колонной составляет 500 м.</w:t>
      </w:r>
    </w:p>
    <w:bookmarkEnd w:id="28"/>
    <w:bookmarkStart w:id="29" w:name="расчёт-диаметров-долот-и-обсадных-колонн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Расчёт диаметров долот и обсадных колонн</w:t>
      </w:r>
    </w:p>
    <w:p>
      <w:pPr>
        <w:pStyle w:val="FirstParagraph"/>
      </w:pPr>
      <w:r>
        <w:t xml:space="preserve">Расчёт ведётся снизу вверх, начиная с эксплуатационной колонны, диаметр которой задан. Расчётный диаметр долота для бурения под колонну: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Δ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наружный диаметр муфты обсадной колонны, мм (по ГОСТ 632-80 [2]);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минимально допустимый радиальный зазор между муфтой и стенкой скважины, мм (таблица 6). Из ряда диаметров долот по ГОСТ 20692-2003 [3] выбирается ближайший диаметр, не меньший расчётного.</w:t>
      </w:r>
    </w:p>
    <w:p>
      <w:pPr>
        <w:pStyle w:val="ПодписьТаблицы"/>
      </w:pPr>
      <w:r>
        <w:t xml:space="preserve">Таблица 6 – Минимальный радиальный зазор между муфтой и стенкой скважины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Условный диаметр ОК,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114, 127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140, 146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168–245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273, 299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324–426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r>
                <m:t>Δ</m:t>
              </m:r>
            </m:oMath>
            <w:r>
              <w:rPr>
                <w:rFonts w:ascii="Times New Roman" w:hAnsi="Times New Roman"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22</w:t>
            </w:r>
          </w:p>
        </w:tc>
      </w:tr>
    </w:tbl>
    <w:p>
      <w:pPr>
        <w:pStyle w:val="BodyText"/>
        <w:spacing w:before="160"/>
      </w:pPr>
      <w:r>
        <w:t xml:space="preserve">Внутренний диаметр предыдущей колонны должен обеспечивать проход долота: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δ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8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зазор между долотом и внутренней стенкой колонны,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мм; принят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мм. Используются обсадные трубы с трапецеидальной резьбой ОТТМ, которая обеспечивает лучшую герметичность соединений, что важно для газовой скважины.</w:t>
      </w:r>
    </w:p>
    <w:p>
      <w:pPr>
        <w:pStyle w:val="BodyText"/>
      </w:pPr>
      <w:r>
        <w:rPr>
          <w:bCs/>
          <w:b/>
        </w:rPr>
        <w:t xml:space="preserve">Эксплуатационная колонна.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114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мм,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127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мм,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мм: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127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t>143</m:t>
          </m:r>
          <m:r>
            <m:rPr>
              <m:sty m:val="p"/>
            </m:rPr>
            <m:t>,</m:t>
          </m:r>
          <m:r>
            <m:t>0</m:t>
          </m:r>
          <m:r>
            <m:t> </m:t>
          </m:r>
          <m:r>
            <m:rPr>
              <m:nor/>
              <m:sty m:val="p"/>
            </m:rPr>
            <m:t>мм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146</m:t>
          </m:r>
          <m:r>
            <m:rPr>
              <m:sty m:val="p"/>
            </m:rPr>
            <m:t>,</m:t>
          </m:r>
          <m:r>
            <m:t>0</m:t>
          </m:r>
          <m:r>
            <m:t> </m:t>
          </m:r>
          <m:r>
            <m:rPr>
              <m:nor/>
              <m:sty m:val="p"/>
            </m:rPr>
            <m:t>мм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Промежуточная колонна.</w:t>
      </w:r>
      <w:r>
        <w:t xml:space="preserve"> </w:t>
      </w:r>
      <w:r>
        <w:t xml:space="preserve">Требуемый внутренний диаметр: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146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r>
            <m:t>156</m:t>
          </m:r>
          <m:r>
            <m:rPr>
              <m:sty m:val="p"/>
            </m:rPr>
            <m:t>,</m:t>
          </m:r>
          <m:r>
            <m:t>0</m:t>
          </m:r>
          <m:r>
            <m:t> </m:t>
          </m:r>
          <m:r>
            <m:rPr>
              <m:nor/>
              <m:sty m:val="p"/>
            </m:rPr>
            <m:t>мм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Колонна 168,3 мм не подходит (наибольший внутренний диаметр 153,7 мм &lt; 156,0 мм). Подходит колонна 177,8 мм с толщиной стенки 6,9…10,4 мм (d = 164,0…157,0 мм). Принята толщина стенки 10,4 мм (d = 157,0 мм, фактический зазор δ = 5,5 мм) — наибольшая из допустимых по проходу долота, что даёт запас прочности; окончательно толщина стенки уточняется расчётом колонны на прочность. Для колонны 177,8 мм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194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мм,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мм: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194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13</m:t>
          </m:r>
          <m:r>
            <m:rPr>
              <m:sty m:val="p"/>
            </m:rPr>
            <m:t>=</m:t>
          </m:r>
          <m:r>
            <m:t>220</m:t>
          </m:r>
          <m:r>
            <m:rPr>
              <m:sty m:val="p"/>
            </m:rPr>
            <m:t>,</m:t>
          </m:r>
          <m:r>
            <m:t>5</m:t>
          </m:r>
          <m:r>
            <m:t> </m:t>
          </m:r>
          <m:r>
            <m:rPr>
              <m:nor/>
              <m:sty m:val="p"/>
            </m:rPr>
            <m:t>мм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222</m:t>
          </m:r>
          <m:r>
            <m:rPr>
              <m:sty m:val="p"/>
            </m:rPr>
            <m:t>,</m:t>
          </m:r>
          <m:r>
            <m:t>3</m:t>
          </m:r>
          <m:r>
            <m:t> </m:t>
          </m:r>
          <m:r>
            <m:rPr>
              <m:nor/>
              <m:sty m:val="p"/>
            </m:rPr>
            <m:t>мм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Кондуктор.</w:t>
      </w:r>
      <w:r>
        <w:t xml:space="preserve"> </w:t>
      </w:r>
      <w:r>
        <w:t xml:space="preserve">Требуемый внутренний диаметр: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222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r>
            <m:t>232</m:t>
          </m:r>
          <m:r>
            <m:rPr>
              <m:sty m:val="p"/>
            </m:rPr>
            <m:t>,</m:t>
          </m:r>
          <m:r>
            <m:t>3</m:t>
          </m:r>
          <m:r>
            <m:t> </m:t>
          </m:r>
          <m:r>
            <m:rPr>
              <m:nor/>
              <m:sty m:val="p"/>
            </m:rPr>
            <m:t>мм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Колонна 244,5 мм не подходит (наибольший внутренний диаметр 228,7 мм &lt; 232,3 мм). Принята колонна 273,1 мм с толщиной стенки 8,9 мм (d = 255,3 мм).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298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мм,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мм: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298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18</m:t>
          </m:r>
          <m:r>
            <m:rPr>
              <m:sty m:val="p"/>
            </m:rPr>
            <m:t>=</m:t>
          </m:r>
          <m:r>
            <m:t>334</m:t>
          </m:r>
          <m:r>
            <m:rPr>
              <m:sty m:val="p"/>
            </m:rPr>
            <m:t>,</m:t>
          </m:r>
          <m:r>
            <m:t>5</m:t>
          </m:r>
          <m:r>
            <m:t> </m:t>
          </m:r>
          <m:r>
            <m:rPr>
              <m:nor/>
              <m:sty m:val="p"/>
            </m:rPr>
            <m:t>мм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349</m:t>
          </m:r>
          <m:r>
            <m:rPr>
              <m:sty m:val="p"/>
            </m:rPr>
            <m:t>,</m:t>
          </m:r>
          <m:r>
            <m:t>2</m:t>
          </m:r>
          <m:r>
            <m:t> </m:t>
          </m:r>
          <m:r>
            <m:rPr>
              <m:nor/>
              <m:sty m:val="p"/>
            </m:rPr>
            <m:t>мм</m:t>
          </m:r>
          <m:r>
            <m:rPr>
              <m:sty m:val="p"/>
            </m:rPr>
            <m:t>.</m:t>
          </m:r>
        </m:oMath>
      </m:oMathPara>
    </w:p>
    <w:p>
      <w:pPr>
        <w:pStyle w:val="ПодписьТаблицы"/>
      </w:pPr>
      <w:r>
        <w:t xml:space="preserve">Таблица 7 – Результаты расчёта диаметров (отечественная методика)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Эксплуатационная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Промежуточная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Кондуктор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Глубина спуска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m:oMath>
              <m:r>
                <m:t>L</m:t>
              </m:r>
            </m:oMath>
            <w:r>
              <w:rPr>
                <w:rFonts w:ascii="Times New Roman" w:hAnsi="Times New Roman"/>
                <w:sz w:val="24"/>
              </w:rPr>
              <w:t xml:space="preserve">, 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2100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260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Наружный диаметр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114,3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177,8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273,1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Толщина стенки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по расчёту на прочность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10,4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8,9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Требуемый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≥ 156,0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≥ 232,3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Внутренний диаметр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157,0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255,3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Диаметр муфты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127,0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194,5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298,5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Зазор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m:oMath>
              <m:r>
                <m:t>Δ</m:t>
              </m:r>
            </m:oMath>
            <w:r>
              <w:rPr>
                <w:rFonts w:ascii="Times New Roman" w:hAnsi="Times New Roman"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Расчётный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143,0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220,5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334,5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Долото по ГОСТ 20692,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146,0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222,3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349,2</w:t>
            </w:r>
          </w:p>
        </w:tc>
      </w:tr>
    </w:tbl>
    <w:bookmarkEnd w:id="29"/>
    <w:bookmarkStart w:id="33" w:name="схема-конструкции-скважин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Схема конструкции скважины</w:t>
      </w:r>
    </w:p>
    <w:p>
      <w:pPr>
        <w:pStyle w:val="FirstParagraph"/>
      </w:pPr>
      <w:r>
        <w:t xml:space="preserve">Схема спроектированной конструкции скважины приведена на рисунке 2, сводные данные — в таблице 8.</w:t>
      </w:r>
    </w:p>
    <w:p>
      <w:pPr>
        <w:pStyle w:val="BodyText"/>
        <w:keepNext/>
        <w:spacing w:line="240" w:lineRule="auto" w:before="120"/>
        <w:ind w:firstLine="0"/>
        <w:jc w:val="center"/>
      </w:pPr>
      <w:r>
        <w:drawing>
          <wp:inline>
            <wp:extent cx="4859999" cy="592682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рисунки/рис2_схема_конструкции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999" cy="592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 xml:space="preserve">Рисунок 2 – Схема конструкции скважины</w:t>
      </w:r>
    </w:p>
    <w:p>
      <w:pPr>
        <w:pStyle w:val="ПодписьТаблицы"/>
      </w:pPr>
      <w:r>
        <w:t xml:space="preserve">Таблица 8 – Конструкция скважины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Колонна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Диаметр колонны,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Глубина спуска, 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Диаметр долота,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Интервал бурения, 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Интервал цементирования, м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Кондуктор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273,1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260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349,2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0–260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0–260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Промежуточная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177,8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222,3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260–1000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0–1000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Эксплуатационная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114,3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2100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146,0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1000–2100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500–2100</w:t>
            </w:r>
          </w:p>
        </w:tc>
      </w:tr>
    </w:tbl>
    <w:bookmarkEnd w:id="33"/>
    <w:bookmarkStart w:id="37" w:name="X13a3ca2e9fa3e453fe2c52720020fe0a8798245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Выбор диаметров по зарубежной методике и сравнение результатов</w:t>
      </w:r>
    </w:p>
    <w:p>
      <w:pPr>
        <w:pStyle w:val="FirstParagraph"/>
      </w:pPr>
      <w:r>
        <w:t xml:space="preserve">По зарубежной методике диаметры обсадных колонн и долот подбираются по схеме соответствия (рисунок 3): от диаметра эксплуатационной колонны по стрелкам последовательно выбираются диаметр долота, затем диаметр следующей колонны и т.д. Чёрные стрелки соответствуют стандартному зазору (Standard), серые — уменьшенному (Low Clearance). Выбор выполнен по схеме в дюймах (1 дюйм = 25,4 мм) с переводом в миллиметры.</w:t>
      </w:r>
    </w:p>
    <w:p>
      <w:pPr>
        <w:pStyle w:val="BodyText"/>
        <w:keepNext/>
        <w:spacing w:line="240" w:lineRule="auto" w:before="120"/>
        <w:ind w:firstLine="0"/>
        <w:jc w:val="center"/>
      </w:pPr>
      <w:r>
        <w:drawing>
          <wp:inline>
            <wp:extent cx="5334000" cy="243183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рисунки/рис3_зарубежная_схема_выбор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 xml:space="preserve">Рисунок 3 – Схема подбора диаметров обсадных колонн и долот (зарубежная методика); выбранная цепочка выделена</w:t>
      </w:r>
    </w:p>
    <w:p>
      <w:pPr>
        <w:pStyle w:val="BodyText"/>
      </w:pPr>
      <w:r>
        <w:t xml:space="preserve">По стандартному зазору от колонны 4 1/2” (114,3 мм) получена цепочка: долото 6” (152,4 мм) → колонна 7” (177,8 мм) → долото 8 1/2” (215,9 мм) → колонна 9 5/8” (244,5 мм) → долото 12 1/4” (311,2 мм). Сравнение с отечественной методикой приведено в таблице 9.</w:t>
      </w:r>
    </w:p>
    <w:p>
      <w:pPr>
        <w:pStyle w:val="ПодписьТаблицы"/>
      </w:pPr>
      <w:r>
        <w:t xml:space="preserve">Таблица 9 – Сравнение результатов отечественной и зарубежной методик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Колонна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ОК (РФ),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Долото (РФ),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ОК (заруб.),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Долото (заруб.),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r>
                <m:t>Δ</m:t>
              </m:r>
            </m:oMath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факт. (заруб.),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m:oMath>
              <m:r>
                <m:t>Δ</m:t>
              </m:r>
            </m:oMath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норм. (РФ), мм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Эксплуатационная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114,3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146,0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114,3 (4 1/2”)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152,4 (6”)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12,7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Промежуточная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177,8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222,3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177,8 (7”)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215,9 (8 1/2”)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10,7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Кондуктор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273,1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349,2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244,5 (9 5/8”)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311,2 (12 1/4”)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20,7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</w:tr>
    </w:tbl>
    <w:p>
      <w:pPr>
        <w:pStyle w:val="BodyText"/>
        <w:spacing w:before="160"/>
      </w:pPr>
      <w:r>
        <w:t xml:space="preserve">Фактический зазор для зарубежного варианта рассчитан как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d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с теми же муфтами ОТТМ.</w:t>
      </w:r>
    </w:p>
    <w:p>
      <w:pPr>
        <w:pStyle w:val="BodyText"/>
      </w:pPr>
      <w:r>
        <w:t xml:space="preserve">Анализ результатов:</w:t>
      </w:r>
    </w:p>
    <w:p>
      <w:pPr>
        <w:numPr>
          <w:ilvl w:val="0"/>
          <w:numId w:val="1005"/>
        </w:numPr>
      </w:pPr>
      <w:r>
        <w:t xml:space="preserve">Диаметры эксплуатационной (114,3 мм) и промежуточной (177,8 мм) колонн по обеим методикам совпадают.</w:t>
      </w:r>
    </w:p>
    <w:p>
      <w:pPr>
        <w:numPr>
          <w:ilvl w:val="0"/>
          <w:numId w:val="1005"/>
        </w:numPr>
      </w:pPr>
      <w:r>
        <w:t xml:space="preserve">Под эксплуатационную колонну зарубежная схема даёт долото 152,4 мм (6”) — больше, чем по отечественной методике (146,0 мм). Такого диаметра нет в ряду ГОСТ 20692-2003 (ближайшие 151,0 и 161,0 мм). Кроме того, для прохода долота 152,4 мм внутри колонны 177,8 мм с зазором δ ≥ 5 мм нужен внутренний диаметр не менее 162,4 мм, т.е. только тонкостенные трубы (s = 6,9 мм).</w:t>
      </w:r>
    </w:p>
    <w:p>
      <w:pPr>
        <w:numPr>
          <w:ilvl w:val="0"/>
          <w:numId w:val="1005"/>
        </w:numPr>
      </w:pPr>
      <w:r>
        <w:t xml:space="preserve">Под промежуточную колонну зарубежная схема даёт долото 215,9 мм (8 1/2”), при котором зазор между муфтой и стенкой скважины 10,7 мм — меньше нормативных 13 мм. Поэтому по отечественной методике принято долото 222,3 мм (8 3/4”), которое уже не проходит в колонну 244,5 мм (наибольший внутренний диаметр 228,7 мм &lt; 232,3 мм). Из-за этого по отечественной методике кондуктор получился 273,1 мм (10 3/4”), а по зарубежной — 244,5 мм (9 5/8”).</w:t>
      </w:r>
    </w:p>
    <w:p>
      <w:pPr>
        <w:numPr>
          <w:ilvl w:val="0"/>
          <w:numId w:val="1005"/>
        </w:numPr>
      </w:pPr>
      <w:r>
        <w:t xml:space="preserve">Если в зарубежной схеме взять долото 8 3/4” (как по отечественной методике), то следующей колонной также будет 10 3/4” (273,1 мм), а долото под неё — 14 1/2” (368,3 мм) при стандартном зазоре или 12 1/2” (317,5 мм) при уменьшенном; отечественное значение 349,2 мм лежит между ними.</w:t>
      </w:r>
    </w:p>
    <w:p>
      <w:pPr>
        <w:numPr>
          <w:ilvl w:val="0"/>
          <w:numId w:val="1005"/>
        </w:numPr>
      </w:pPr>
      <w:r>
        <w:t xml:space="preserve">Зарубежный вариант компактнее в верхней части: масса кондуктора на 260 м уменьшается с 15,1 до 12,0 т (на 20 %), объём ствола под кондуктор — с 24,9 до 19,8 м³ (на 21 %), что снижает затраты на металл, цемент и буровой раствор.</w:t>
      </w:r>
    </w:p>
    <w:p>
      <w:pPr>
        <w:pStyle w:val="FirstParagraph"/>
      </w:pPr>
      <w:r>
        <w:t xml:space="preserve">При работе со схемой в миллиметрах (семинар 1, стр. 18) замечено, что в ветви колонны 177,8 мм подписи узлов не соответствуют дюймовой схеме (вместо долота 215,9 мм указано 177,8 мм, вместо колонны 244,5/250,8 мм — 215,9 мм), поэтому выбор выполнен по схеме в дюймах.</w:t>
      </w:r>
    </w:p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зарубежная методика даёт аналогичный результат для эксплуатационной и промежуточной колонн, но за счёт меньших допускаемых радиальных зазоров приводит к меньшим диаметрам кондуктора (244,5 мм вместо 273,1 мм) и долота под него (311,2 мм вместо 349,2 мм). Отечественная методика более консервативна: увеличенные зазоры облегчают спуск колонн и повышают качество цементирования, что важно для газовой скважины с АВПД. Зарубежная — снижает металлоёмкость и объёмы работ.</w:t>
      </w:r>
    </w:p>
    <w:bookmarkEnd w:id="37"/>
    <w:bookmarkStart w:id="38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работе спроектирована конструкция газовой скважины глубиной 2100 м:</w:t>
      </w:r>
    </w:p>
    <w:p>
      <w:pPr>
        <w:numPr>
          <w:ilvl w:val="0"/>
          <w:numId w:val="1006"/>
        </w:numPr>
      </w:pPr>
      <w:r>
        <w:t xml:space="preserve">рассчитаны индексы давлений и относительная плотность бурового раствора: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для интервала 0–1000 м и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40</m:t>
        </m:r>
      </m:oMath>
      <w:r>
        <w:t xml:space="preserve"> </w:t>
      </w:r>
      <w:r>
        <w:t xml:space="preserve">для интервала 1000–2100 м;</w:t>
      </w:r>
    </w:p>
    <w:p>
      <w:pPr>
        <w:numPr>
          <w:ilvl w:val="0"/>
          <w:numId w:val="1006"/>
        </w:numPr>
      </w:pPr>
      <w:r>
        <w:t xml:space="preserve">по совмещённому графику давлений выявлена несовместимость условий бурения интервалов 0–1000 м и 1000–2100 м (песчаник с АВПД);</w:t>
      </w:r>
    </w:p>
    <w:p>
      <w:pPr>
        <w:numPr>
          <w:ilvl w:val="0"/>
          <w:numId w:val="1006"/>
        </w:numPr>
      </w:pPr>
      <w:r>
        <w:t xml:space="preserve">принята трёхколонная конструкция: кондуктор 273,1 мм на 260 м (долото 349,2 мм), промежуточная колонна 177,8 мм на 1000 м (долото 222,3 мм), эксплуатационная колонна 114,3 мм на 2100 м (долото 146,0 мм);</w:t>
      </w:r>
    </w:p>
    <w:p>
      <w:pPr>
        <w:numPr>
          <w:ilvl w:val="0"/>
          <w:numId w:val="1006"/>
        </w:numPr>
      </w:pPr>
      <w:r>
        <w:t xml:space="preserve">кондуктор и промежуточная колонна цементируются до устья, эксплуатационная — в интервале 500–2100 м;</w:t>
      </w:r>
    </w:p>
    <w:p>
      <w:pPr>
        <w:numPr>
          <w:ilvl w:val="0"/>
          <w:numId w:val="1006"/>
        </w:numPr>
      </w:pPr>
      <w:r>
        <w:t xml:space="preserve">зарубежная методика даёт те же диаметры эксплуатационной и промежуточной колонн, но меньший диаметр кондуктора (244,5 мм) за счёт меньших допускаемых зазоров.</w:t>
      </w:r>
    </w:p>
    <w:bookmarkEnd w:id="38"/>
    <w:bookmarkStart w:id="39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numPr>
          <w:ilvl w:val="0"/>
          <w:numId w:val="1007"/>
        </w:numPr>
        <w:pStyle w:val="Литература"/>
      </w:pPr>
      <w:r>
        <w:t xml:space="preserve">Проектирование конструкции скважины: материалы практического занятия № 1 по дисциплине «Технология бурения скважин». — М.: РГУ нефти и газа (НИУ) имени И.М. Губкина, кафедра бурения нефтяных и газовых скважин.</w:t>
      </w:r>
    </w:p>
    <w:p>
      <w:pPr>
        <w:numPr>
          <w:ilvl w:val="0"/>
          <w:numId w:val="1007"/>
        </w:numPr>
        <w:pStyle w:val="Литература"/>
      </w:pPr>
      <w:r>
        <w:t xml:space="preserve">ГОСТ 632-80. Трубы обсадные и муфты к ним. Технические условия.</w:t>
      </w:r>
    </w:p>
    <w:p>
      <w:pPr>
        <w:numPr>
          <w:ilvl w:val="0"/>
          <w:numId w:val="1007"/>
        </w:numPr>
        <w:pStyle w:val="Литература"/>
      </w:pPr>
      <w:r>
        <w:t xml:space="preserve">ГОСТ 20692-2003. Долота шарошечные. Технические условия.</w:t>
      </w:r>
    </w:p>
    <w:p>
      <w:pPr>
        <w:numPr>
          <w:ilvl w:val="0"/>
          <w:numId w:val="1007"/>
        </w:numPr>
        <w:pStyle w:val="Литература"/>
      </w:pPr>
      <w:r>
        <w:t xml:space="preserve">Правила безопасности в нефтяной и газовой промышленности (ПБ 08-624-03).</w:t>
      </w:r>
    </w:p>
    <w:p>
      <w:pPr>
        <w:numPr>
          <w:ilvl w:val="0"/>
          <w:numId w:val="1007"/>
        </w:numPr>
        <w:pStyle w:val="Литература"/>
      </w:pPr>
      <w:r>
        <w:t xml:space="preserve">Бастриков С.Н., Калинин А.Г., Оганов А.С., Сазонов А.А. Строительство нефтегазовых скважин. Т. 1. — М.: ИЦ РГУ нефти и газа, 2013.</w:t>
      </w:r>
    </w:p>
    <w:p>
      <w:pPr>
        <w:numPr>
          <w:ilvl w:val="0"/>
          <w:numId w:val="1007"/>
        </w:numPr>
        <w:pStyle w:val="Литература"/>
      </w:pPr>
      <w:r>
        <w:t xml:space="preserve">Балицкий В.П., Храброва О.Ю. Технологические расчёты при бурении глубоких скважин. — М.: МАКС Пресс, 2008.</w:t>
      </w:r>
    </w:p>
    <w:bookmarkEnd w:id="39"/>
    <w:sectPr>
      <w:footerReference w:type="default" r:id="rId9"/>
      <w:pgSz w:w="11906" w:h="16838"/>
      <w:pgMar w:left="1701" w:right="850" w:top="113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spacing w:before="0" w:after="0" w:line="360" w:lineRule="auto"/>
      <w:ind w:firstLine="709" w:left="0"/>
      <w:jc w:val="both"/>
    </w:pPr>
    <w:rPr>
      <w:rFonts w:ascii="Times New Roman" w:hAnsi="Times New Roman" w:cs="Times New Roman" w:eastAsia="Times New Roman"/>
      <w:color w:val="000000"/>
      <w:sz w:val="28"/>
    </w:rPr>
  </w:style>
  <w:style w:styleId="BodyText" w:type="paragraph">
    <w:name w:val="Body Text"/>
    <w:basedOn w:val="Normal"/>
    <w:link w:val="BodyTextChar"/>
    <w:pPr>
      <w:keepNext w:val="0"/>
      <w:spacing w:after="0" w:before="0" w:line="360" w:lineRule="auto"/>
      <w:ind w:firstLine="709" w:left="0"/>
      <w:jc w:val="both"/>
    </w:pPr>
    <w:qFormat/>
    <w:rPr>
      <w:rFonts w:ascii="Times New Roman" w:hAnsi="Times New Roman" w:cs="Times New Roman" w:eastAsia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keepNext w:val="0"/>
      <w:spacing w:before="0" w:after="0" w:line="360" w:lineRule="auto"/>
      <w:ind w:firstLine="709" w:left="0"/>
      <w:jc w:val="both"/>
    </w:pPr>
    <w:rPr>
      <w:rFonts w:ascii="Times New Roman" w:hAnsi="Times New Roman" w:cs="Times New Roman" w:eastAsia="Times New Roman"/>
      <w:color w:val="000000"/>
      <w:sz w:val="28"/>
    </w:rPr>
  </w:style>
  <w:style w:customStyle="1" w:styleId="Compact" w:type="paragraph">
    <w:name w:val="Compact"/>
    <w:basedOn w:val="BodyText"/>
    <w:qFormat/>
    <w:pPr>
      <w:keepNext w:val="0"/>
      <w:spacing w:after="0" w:before="0" w:line="360" w:lineRule="auto"/>
      <w:ind w:firstLine="709" w:left="0"/>
      <w:jc w:val="both"/>
    </w:pPr>
    <w:rPr>
      <w:rFonts w:ascii="Times New Roman" w:hAnsi="Times New Roman" w:cs="Times New Roman" w:eastAsia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240" w:line="360" w:lineRule="auto"/>
      <w:ind w:firstLine="709" w:left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240" w:before="240" w:line="360" w:lineRule="auto"/>
      <w:ind w:firstLine="709" w:left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Литература">
    <w:name w:val="Литература"/>
    <w:basedOn w:val="BodyText"/>
    <w:qFormat/>
    <w:pPr>
      <w:keepNext w:val="0"/>
      <w:spacing w:before="0" w:after="0" w:line="360" w:lineRule="auto"/>
      <w:ind w:left="0" w:firstLine="709"/>
      <w:jc w:val="both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ПодписьРисунка">
    <w:name w:val="ПодписьРисунка"/>
    <w:basedOn w:val="BodyText"/>
    <w:qFormat/>
    <w:pPr>
      <w:keepNext w:val="0"/>
      <w:spacing w:before="0" w:after="120" w:line="360" w:lineRule="auto"/>
      <w:ind w:firstLine="0" w:left="0"/>
      <w:jc w:val="center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ПодписьТаблицы">
    <w:name w:val="ПодписьТаблицы"/>
    <w:basedOn w:val="BodyText"/>
    <w:qFormat/>
    <w:pPr>
      <w:keepNext/>
      <w:spacing w:before="120" w:after="0" w:line="360" w:lineRule="auto"/>
      <w:ind w:firstLine="0" w:left="0"/>
      <w:jc w:val="left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Титул">
    <w:name w:val="Титул"/>
    <w:basedOn w:val="BodyText"/>
    <w:qFormat/>
    <w:pPr>
      <w:keepNext w:val="0"/>
      <w:spacing w:before="0" w:after="0" w:line="360" w:lineRule="auto"/>
      <w:ind w:firstLine="0" w:left="0"/>
      <w:jc w:val="center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ТитулЗаголовок">
    <w:name w:val="ТитулЗаголовок"/>
    <w:basedOn w:val="BodyText"/>
    <w:qFormat/>
    <w:pPr>
      <w:keepNext w:val="0"/>
      <w:spacing w:before="0" w:after="0" w:line="360" w:lineRule="auto"/>
      <w:ind w:firstLine="0" w:left="0"/>
      <w:jc w:val="center"/>
    </w:pPr>
    <w:rPr>
      <w:rFonts w:ascii="Times New Roman" w:hAnsi="Times New Roman" w:cs="Times New Roman" w:eastAsia="Times New Roman"/>
      <w:b/>
      <w:color w:val="000000"/>
      <w:sz w:val="40"/>
    </w:rPr>
  </w:style>
  <w:style w:type="paragraph" w:customStyle="1" w:styleId="ТитулОтступ">
    <w:name w:val="ТитулОтступ"/>
    <w:basedOn w:val="BodyText"/>
    <w:qFormat/>
    <w:pPr>
      <w:keepNext w:val="0"/>
      <w:spacing w:before="1200" w:after="0" w:line="360" w:lineRule="auto"/>
      <w:ind w:firstLine="0" w:left="0"/>
      <w:jc w:val="center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ТитулПодписи">
    <w:name w:val="ТитулПодписи"/>
    <w:basedOn w:val="BodyText"/>
    <w:qFormat/>
    <w:pPr>
      <w:keepNext w:val="0"/>
      <w:spacing w:before="0" w:after="0" w:line="360" w:lineRule="auto"/>
      <w:ind w:firstLine="0" w:left="4535"/>
      <w:jc w:val="left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ДЗ-1. Проектирование конструкции скважины. Вариант 7</dc:title>
  <dc:creator>Фамилия И.О.</dc:creator>
  <cp:keywords/>
  <dcterms:created xsi:type="dcterms:W3CDTF">2026-10-07T14:42:21Z</dcterms:created>
  <dcterms:modified xsi:type="dcterms:W3CDTF">2026-10-07T14:42:21Z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