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Титул"/>
      </w:pPr>
      <w:r>
        <w:t xml:space="preserve">МИНИСТЕРСТВО НАУКИ И ВЫСШЕГО ОБРАЗОВАНИЯ РОССИЙСКОЙ ФЕДЕРАЦИИ</w:t>
      </w:r>
    </w:p>
    <w:p>
      <w:pPr>
        <w:pStyle w:val="Титул"/>
      </w:pPr>
      <w:r>
        <w:t xml:space="preserve">РОССИЙСКИЙ ГОСУДАРСТВЕННЫЙ УНИВЕРСИТЕТ НЕФТИ И ГАЗА</w:t>
      </w:r>
      <w:r>
        <w:t xml:space="preserve"> </w:t>
      </w:r>
      <w:r>
        <w:t xml:space="preserve">(НАЦИОНАЛЬНЫЙ ИССЛЕДОВАТЕЛЬСКИЙ УНИВЕРСИТЕТ)</w:t>
      </w:r>
      <w:r>
        <w:t xml:space="preserve"> </w:t>
      </w:r>
      <w:r>
        <w:t xml:space="preserve">ИМЕНИ И.М. ГУБКИНА</w:t>
      </w:r>
    </w:p>
    <w:p>
      <w:pPr>
        <w:pStyle w:val="Титул"/>
      </w:pPr>
      <w:r>
        <w:t xml:space="preserve">Кафедра бурения нефтяных и газовых скважин</w:t>
      </w:r>
    </w:p>
    <w:p>
      <w:pPr>
        <w:pStyle w:val="ТитулОтступ"/>
      </w:pPr>
      <w:r>
        <w:t xml:space="preserve"> </w:t>
      </w:r>
    </w:p>
    <w:p>
      <w:pPr>
        <w:pStyle w:val="ТитулЗаголовок"/>
      </w:pPr>
      <w:r>
        <w:t xml:space="preserve">ДОМАШНЕЕ ЗАДАНИЕ № 1</w:t>
      </w:r>
    </w:p>
    <w:p>
      <w:pPr>
        <w:pStyle w:val="Титул"/>
      </w:pPr>
      <w:r>
        <w:t xml:space="preserve">по дисциплине «Технология бурения скважин»</w:t>
      </w:r>
    </w:p>
    <w:p>
      <w:pPr>
        <w:pStyle w:val="Титул"/>
      </w:pPr>
      <w:r>
        <w:t xml:space="preserve">на тему: «Проектирование конструкции скважины»</w:t>
      </w:r>
    </w:p>
    <w:p>
      <w:pPr>
        <w:pStyle w:val="Титул"/>
      </w:pPr>
      <w:r>
        <w:t xml:space="preserve">Вариант 7</w:t>
      </w:r>
    </w:p>
    <w:p>
      <w:pPr>
        <w:pStyle w:val="ТитулОтступ"/>
      </w:pPr>
      <w:r>
        <w:t xml:space="preserve"> </w:t>
      </w:r>
    </w:p>
    <w:p>
      <w:pPr>
        <w:pStyle w:val="ТитулПодписи"/>
      </w:pPr>
      <w:r>
        <w:t xml:space="preserve">Выполнил: студент группы РТ‑23‑12</w:t>
      </w:r>
    </w:p>
    <w:p>
      <w:pPr>
        <w:pStyle w:val="ТитулПодписи"/>
      </w:pPr>
      <w:r>
        <w:rPr>
          <w:highlight w:val="yellow"/>
        </w:rPr>
        <w:t>Фамилия И.О.</w:t>
      </w:r>
    </w:p>
    <w:p>
      <w:pPr>
        <w:pStyle w:val="ТитулПодписи"/>
      </w:pPr>
      <w:r>
        <w:t xml:space="preserve"> </w:t>
      </w:r>
    </w:p>
    <w:p>
      <w:pPr>
        <w:pStyle w:val="ТитулПодписи"/>
      </w:pPr>
      <w:r>
        <w:t xml:space="preserve">Проверил: доцент, к.т.н.</w:t>
      </w:r>
    </w:p>
    <w:p>
      <w:pPr>
        <w:pStyle w:val="ТитулПодписи"/>
      </w:pPr>
      <w:r>
        <w:t xml:space="preserve">Балицкий В.П.</w:t>
      </w:r>
    </w:p>
    <w:p>
      <w:pPr>
        <w:pStyle w:val="ТитулОтступ"/>
      </w:pPr>
      <w:r>
        <w:t xml:space="preserve"> </w:t>
      </w:r>
    </w:p>
    <w:p>
      <w:pPr>
        <w:pStyle w:val="Титул"/>
      </w:pPr>
      <w:r>
        <w:t xml:space="preserve">Москва 2026</w:t>
      </w:r>
    </w:p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— спроектировать конструкцию газовой скважины глубиной 2100 м по заданным геолого-техническим условиям (вариант 7). Расчёты выполнены в Excel (прилагаемый файл), в записке приведены расчётные формулы, результаты и обоснование принятых решений.</w:t>
      </w:r>
    </w:p>
    <w:bookmarkEnd w:id="20"/>
    <w:bookmarkStart w:id="21" w:name="исходные-данные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Исходные данные</w:t>
      </w:r>
    </w:p>
    <w:p>
      <w:pPr>
        <w:pStyle w:val="FirstParagraph"/>
      </w:pPr>
      <w:r>
        <w:t xml:space="preserve">Назначение скважины — газовая. Глубина скважины — 2100 м. Диаметр эксплуатационной колонны — 114,3 мм. До глубины 250 м разрез сложен неустойчивыми породами, склонными к поглощениям. Сведения о горных породах и давлениях приведены в таблице 1.</w:t>
      </w:r>
    </w:p>
    <w:p>
      <w:pPr>
        <w:pStyle w:val="ПодписьТаблицы"/>
      </w:pPr>
      <w:r>
        <w:t xml:space="preserve">Таблица 1 – Геологический разрез и давления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Порода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Пластовое давление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Давление поглощения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МПа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0–800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алевролит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9,6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800–1000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глина голубая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1000–1900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песчаник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23,8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28,5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известняк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30,5</w:t>
            </w:r>
          </w:p>
        </w:tc>
      </w:tr>
    </w:tbl>
    <w:p>
      <w:pPr>
        <w:pStyle w:val="BodyText"/>
        <w:spacing w:before="160"/>
      </w:pPr>
      <w:r>
        <w:t xml:space="preserve">Давления в таблице отнесены к подошве соответствующего интервала (глубине</w:t>
      </w:r>
      <w:r>
        <w:t xml:space="preserve"> </w:t>
      </w:r>
      <m:oMath>
        <m:r>
          <m:t>z</m:t>
        </m:r>
      </m:oMath>
      <w:r>
        <w:t xml:space="preserve">, равной нижней границе интервала).</w:t>
      </w:r>
    </w:p>
    <w:bookmarkEnd w:id="21"/>
    <w:bookmarkStart w:id="22" w:name="расчёт-индексов-давлений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Расчёт индексов давлений</w:t>
      </w:r>
    </w:p>
    <w:p>
      <w:pPr>
        <w:pStyle w:val="FirstParagraph"/>
      </w:pPr>
      <w:r>
        <w:t xml:space="preserve">Коэффициент аномальности пластового давления и индекс давления поглощения рассчитываются по формулам: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z</m:t>
              </m:r>
            </m:den>
          </m:f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z</m:t>
              </m:r>
            </m:den>
          </m:f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пластовое давление на глубине</w:t>
      </w:r>
      <w:r>
        <w:t xml:space="preserve"> </w:t>
      </w:r>
      <m:oMath>
        <m:r>
          <m:t>z</m:t>
        </m:r>
      </m:oMath>
      <w:r>
        <w:t xml:space="preserve">, Па;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— давление поглощения, Па;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кг/м³ — плотность воды;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81</m:t>
        </m:r>
      </m:oMath>
      <w:r>
        <w:t xml:space="preserve"> </w:t>
      </w:r>
      <w:r>
        <w:t xml:space="preserve">м/с² — ускорение свободного падения;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— глубина, м.</w:t>
      </w:r>
    </w:p>
    <w:p>
      <w:pPr>
        <w:pStyle w:val="BodyText"/>
      </w:pPr>
      <w:r>
        <w:t xml:space="preserve">Относительная плотность бурового раствора по Правилам безопасности [4, п. 2.7.3.3] должна обеспечивать превышение гидростатического давления над пластовым не менее чем на 10 % в интервале 0–1200 м и на 5 % — ниже 1200 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коэффициент безопасности: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z</m:t>
        </m:r>
        <m:r>
          <m:rPr>
            <m:sty m:val="p"/>
          </m:rPr>
          <m:t>&lt;</m:t>
        </m:r>
        <m:r>
          <m:t>1200</m:t>
        </m:r>
      </m:oMath>
      <w:r>
        <w:t xml:space="preserve"> </w:t>
      </w:r>
      <w:r>
        <w:t xml:space="preserve">м;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1200</m:t>
        </m:r>
      </m:oMath>
      <w:r>
        <w:t xml:space="preserve"> </w:t>
      </w:r>
      <w:r>
        <w:t xml:space="preserve">м. Плотность бурового раствора</w:t>
      </w:r>
      <w: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⋅</m:t>
        </m:r>
        <m:sSub>
          <m:e>
            <m:r>
              <m:t>ρ</m:t>
            </m:r>
          </m:e>
          <m:sub>
            <m:r>
              <m:t>w</m:t>
            </m:r>
          </m:sub>
        </m:sSub>
      </m:oMath>
      <w:r>
        <w:t xml:space="preserve">, кг/м³.</w:t>
      </w:r>
    </w:p>
    <w:p>
      <w:pPr>
        <w:pStyle w:val="BodyText"/>
      </w:pPr>
      <w:r>
        <w:t xml:space="preserve">Пример расчёта для интервала 0–800 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  <m:r>
                <m:rPr>
                  <m:sty m:val="p"/>
                </m:rPr>
                <m:t>⋅</m:t>
              </m:r>
              <m:r>
                <m:t>800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019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  <m:r>
                <m:rPr>
                  <m:sty m:val="p"/>
                </m:rPr>
                <m:t>⋅</m:t>
              </m:r>
              <m:r>
                <m:t>800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223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,</m:t>
          </m:r>
          <m:r>
            <m:t>019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121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121</m:t>
          </m:r>
          <m:r>
            <m:rPr>
              <m:sty m:val="p"/>
            </m:rPr>
            <m:t>⋅</m:t>
          </m:r>
          <m:r>
            <m:t>1000</m:t>
          </m:r>
          <m:r>
            <m:rPr>
              <m:sty m:val="p"/>
            </m:rPr>
            <m:t>=</m:t>
          </m:r>
          <m:r>
            <m:t>1121</m:t>
          </m:r>
          <m:r>
            <m:t> </m:t>
          </m:r>
          <m:sSup>
            <m:e>
              <m:r>
                <m:rPr>
                  <m:nor/>
                  <m:sty m:val="p"/>
                </m:rPr>
                <m:t>кг/м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Песчаник (1000–1900 м) пересекает границу 1200 м, поэтому для него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рассчитана отдельно для участков 1000–1200 м (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) и 1200–1900 м (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05</m:t>
        </m:r>
      </m:oMath>
      <w:r>
        <w:t xml:space="preserve">). Результаты расчёта для всех интервалов приведены в таблице 2.</w:t>
      </w:r>
    </w:p>
    <w:p>
      <w:pPr>
        <w:pStyle w:val="ПодписьТаблицы"/>
      </w:pPr>
      <w:r>
        <w:t xml:space="preserve">Таблица 2 – Индексы давлений и относительная плотность бурового раствора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кг/м³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0–800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800–1000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0,897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0,987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987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1000–1200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1,529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1200–1900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1,529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</w:tbl>
    <w:p>
      <w:pPr>
        <w:pStyle w:val="BodyText"/>
        <w:spacing w:before="160"/>
      </w:pPr>
      <w:r>
        <w:t xml:space="preserve">Условие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&lt;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выполняется в каждом интервале по отдельности. В интервале 800–1000 м пластовое давление ниже гидростатического (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897</m:t>
        </m:r>
      </m:oMath>
      <w:r>
        <w:t xml:space="preserve">), поэтому формально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; фактически этот интервал бурится раствором вышележащего интервала (см. раздел 3).</w:t>
      </w:r>
    </w:p>
    <w:bookmarkEnd w:id="22"/>
    <w:bookmarkStart w:id="26" w:name="совмещённый-график-давлений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Совмещённый график давлений</w:t>
      </w:r>
    </w:p>
    <w:p>
      <w:pPr>
        <w:pStyle w:val="FirstParagraph"/>
      </w:pPr>
      <w:r>
        <w:t xml:space="preserve">По данным таблицы 2 построен совмещённый график давлений (рисунок 1) — зависимости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от глубины. Для каждого необсаженного участка ствола должно выполняться условие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причём весь открытый ствол бурится раствором одной плотности: если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, необходимая для нижнего интервала, больше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какого-либо вышележащего открытого интервала (поглощение) или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верхнего интервала меньше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нижнего (газопроявление), условия бурения несовместимы и верхний интервал необходимо перекрыть обсадной колонной.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5039999" cy="528585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рисунки/рис1_совмещенный_график_давлений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28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1 – Совмещённый график давлений</w:t>
      </w:r>
    </w:p>
    <w:p>
      <w:pPr>
        <w:pStyle w:val="BodyText"/>
      </w:pPr>
      <w:r>
        <w:t xml:space="preserve">Анализ графика (снизу вверх):</w:t>
      </w:r>
    </w:p>
    <w:p>
      <w:pPr>
        <w:numPr>
          <w:ilvl w:val="0"/>
          <w:numId w:val="1001"/>
        </w:numPr>
      </w:pPr>
      <w:r>
        <w:t xml:space="preserve">Для бурения интервала 1000–2100 м необходима плотность, равная наибольшему значению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в нём: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405</m:t>
        </m:r>
      </m:oMath>
      <w:r>
        <w:t xml:space="preserve"> </w:t>
      </w:r>
      <w:r>
        <w:t xml:space="preserve">(участок 1000–1200 м). Она удовлетворяет условию (4) во всём интервале: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 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325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  <m:r>
          <m:t>405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R</m:t>
            </m:r>
            <m:r>
              <m:t> 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481</m:t>
        </m:r>
      </m:oMath>
      <w:r>
        <w:t xml:space="preserve">. Следовательно, интервал 1000–2100 м можно бурить одним стволом.</w:t>
      </w:r>
    </w:p>
    <w:p>
      <w:pPr>
        <w:numPr>
          <w:ilvl w:val="0"/>
          <w:numId w:val="1001"/>
        </w:numPr>
      </w:pPr>
      <w:r>
        <w:t xml:space="preserve">Эта плотность больше индекса давления поглощения вышележащих пород: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223</m:t>
        </m:r>
      </m:oMath>
      <w:r>
        <w:t xml:space="preserve"> </w:t>
      </w:r>
      <w:r>
        <w:t xml:space="preserve">(0–800 м) и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274</m:t>
        </m:r>
      </m:oMath>
      <w:r>
        <w:t xml:space="preserve"> </w:t>
      </w:r>
      <w:r>
        <w:t xml:space="preserve">(800–1000 м) — при вскрытии песчаника с открытым стволом выше 1000 м произойдёт поглощение. Одновременно плотность, допустимая для интервала 0–1000 м (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121</m:t>
        </m:r>
      </m:oMath>
      <w:r>
        <w:t xml:space="preserve">), меньше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песчаника — возникнет газопроявление. Условия бурения интервалов 0–1000 м и 1000–2100 м</w:t>
      </w:r>
      <w:r>
        <w:t xml:space="preserve"> </w:t>
      </w:r>
      <w:r>
        <w:rPr>
          <w:bCs/>
          <w:b/>
        </w:rPr>
        <w:t xml:space="preserve">несовместимы</w:t>
      </w:r>
      <w:r>
        <w:t xml:space="preserve">, интервал 0–1000 м перекрывается промежуточной колонной.</w:t>
      </w:r>
    </w:p>
    <w:p>
      <w:pPr>
        <w:numPr>
          <w:ilvl w:val="0"/>
          <w:numId w:val="1001"/>
        </w:numPr>
      </w:pPr>
      <w:r>
        <w:t xml:space="preserve">Интервал 0–1000 м бурится раствором с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121</m:t>
        </m:r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019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  <m:r>
          <m:t>121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  <m:r>
          <m:t>223</m:t>
        </m:r>
      </m:oMath>
      <w:r>
        <w:t xml:space="preserve"> </w:t>
      </w:r>
      <w:r>
        <w:t xml:space="preserve">— условия совместимы.</w:t>
      </w:r>
    </w:p>
    <w:p>
      <w:pPr>
        <w:pStyle w:val="ПодписьТаблицы"/>
      </w:pPr>
      <w:r>
        <w:t xml:space="preserve">Таблица 3 – Принятая плотность бурового раствора по интервалам бурения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бурения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Глубина,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кг/м³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 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 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Совместимость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промежуточную колонну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эксплуатационную колонну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</w:tbl>
    <w:bookmarkEnd w:id="26"/>
    <w:bookmarkStart w:id="27" w:name="число-и-глубины-спуска-обсадных-колонн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Число и глубины спуска обсадных колонн</w:t>
      </w:r>
    </w:p>
    <w:p>
      <w:pPr>
        <w:pStyle w:val="FirstParagraph"/>
      </w:pPr>
      <w:r>
        <w:t xml:space="preserve">По результатам анализа совмещённого графика давлений и геологических условий принята конструкция из трёх обсадных колонн: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Кондуктор — 260 м.</w:t>
      </w:r>
      <w:r>
        <w:t xml:space="preserve"> </w:t>
      </w:r>
      <w:r>
        <w:t xml:space="preserve">До глубины 250 м разрез сложен неустойчивыми породами, склонными к поглощениям; их необходимо перекрыть в первую очередь. Башмак устанавливается на 10 м ниже, в устойчивых породах (алевролит), — 260 м. Кондуктор также служит для установки противовыбросового оборудования.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Промежуточная колонна — 1000 м.</w:t>
      </w:r>
      <w:r>
        <w:t xml:space="preserve"> </w:t>
      </w:r>
      <w:r>
        <w:t xml:space="preserve">Перекрывает интервал 0–1000 м, несовместимый по условиям бурения с нижележащим песчаником с аномально высоким пластовым давлением (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). Башмак устанавливается в подошве голубых глин (непроницаемые породы) на границе с песчаником. Спускать колонну ниже 1000 м нельзя: углубление в песчаник раствором плотностью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121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приведёт к газопроявлению.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Эксплуатационная колонна — 2100 м</w:t>
      </w:r>
      <w:r>
        <w:t xml:space="preserve"> </w:t>
      </w:r>
      <w:r>
        <w:t xml:space="preserve">(до проектной глубины), диаметр 114,3 мм задан.</w:t>
      </w:r>
    </w:p>
    <w:bookmarkEnd w:id="27"/>
    <w:bookmarkStart w:id="28" w:name="интервалы-цементирования-обсадных-колонн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Интервалы цементирования обсадных колонн</w:t>
      </w:r>
    </w:p>
    <w:p>
      <w:pPr>
        <w:pStyle w:val="FirstParagraph"/>
      </w:pPr>
      <w:r>
        <w:t xml:space="preserve">Интервалы цементирования выбраны по Правилам безопасности [4, п. 2.7.4.10–2.7.4.11]: кондуктор цементируется до устья; высота подъёма тампонажного раствора над башмаком предыдущей колонны в газовых скважинах — не менее 500 м; разрыв цементного кольца по высоте не допускается.</w:t>
      </w:r>
    </w:p>
    <w:p>
      <w:pPr>
        <w:pStyle w:val="ПодписьТаблицы"/>
      </w:pPr>
      <w:r>
        <w:t xml:space="preserve">Таблица 4 – Интервалы цементирования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84"/>
        <w:gridCol w:w="2084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Колонна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Глубина спуска,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цементирования,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до устья (п. 2.7.4.10)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260 − 500 &lt; 0 — подъём цемента до устья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500–2100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на 500 м выше башмака промежуточной колонны (1000 − 500 = 500 м)</w:t>
            </w:r>
          </w:p>
        </w:tc>
      </w:tr>
    </w:tbl>
    <w:p>
      <w:pPr>
        <w:pStyle w:val="BodyText"/>
        <w:spacing w:before="160"/>
      </w:pPr>
      <w:r>
        <w:t xml:space="preserve">Цементное кольцо эксплуатационной колонны (500–2100 м, высота 1600 м) перекрывает продуктивный известняк (1900–2100 м) с запасом 1400 м над его кровлей (больше требуемых 500 м) и проницаемый песчаник с АВПД (1000–1900 м); перекрытие с промежуточной колонной составляет 500 м.</w:t>
      </w:r>
    </w:p>
    <w:bookmarkEnd w:id="28"/>
    <w:bookmarkStart w:id="29" w:name="расчёт-диаметров-долот-и-обсадных-колонн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Расчёт диаметров долот и обсадных колонн</w:t>
      </w:r>
    </w:p>
    <w:p>
      <w:pPr>
        <w:pStyle w:val="FirstParagraph"/>
      </w:pPr>
      <w:r>
        <w:t xml:space="preserve">Расчёт ведётся снизу вверх, начиная с эксплуатационной колонны, диаметр которой задан. Расчётный диаметр долота для бурения под колонну: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Δ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наружный диаметр муфты обсадной колонны, мм (по ГОСТ 632-80 [2]);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минимально допустимый радиальный зазор между муфтой и стенкой скважины [1]: 8 мм для колонн 114–127 мм, 10 мм — 140–146 мм, 13 мм — 168–245 мм, 18 мм — 273–299 мм, 22 мм — 324–426 мм. Из ряда диаметров долот по ГОСТ 20692-2003 [3] выбирается ближайший диаметр, не меньший расчётного.</w:t>
      </w:r>
    </w:p>
    <w:p>
      <w:pPr>
        <w:pStyle w:val="BodyText"/>
      </w:pPr>
      <w:r>
        <w:t xml:space="preserve">Внутренний диаметр предыдущей колонны должен обеспечивать проход долота: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δ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зазор между долотом и внутренней стенкой колонны,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мм; принят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мм. Используются обсадные трубы с трапецеидальной резьбой ОТТМ, которая обеспечивает лучшую герметичность соединений, что важно для газовой скважины.</w:t>
      </w:r>
    </w:p>
    <w:p>
      <w:pPr>
        <w:pStyle w:val="BodyText"/>
      </w:pPr>
      <w:r>
        <w:rPr>
          <w:bCs/>
          <w:b/>
        </w:rPr>
        <w:t xml:space="preserve">Эксплуатационная колонна.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114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мм,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127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143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146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Промежуточная колонна.</w:t>
      </w:r>
      <w:r>
        <w:t xml:space="preserve"> </w:t>
      </w:r>
      <w:r>
        <w:t xml:space="preserve">Требуемый внутренний диаметр: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146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156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Колонна 168,3 мм не подходит (наибольший внутренний диаметр 153,7 мм &lt; 156,0 мм). Подходит колонна 177,8 мм с толщиной стенки 6,9…10,4 мм (d = 164,0…157,0 мм). Принята толщина стенки 10,4 мм (d = 157,0 мм); окончательно толщина стенки определяется расчётом колонны на прочность. Для колонны 177,8 мм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194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194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13</m:t>
          </m:r>
          <m:r>
            <m:rPr>
              <m:sty m:val="p"/>
            </m:rPr>
            <m:t>=</m:t>
          </m:r>
          <m:r>
            <m:t>220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222</m:t>
          </m:r>
          <m:r>
            <m:rPr>
              <m:sty m:val="p"/>
            </m:rPr>
            <m:t>,</m:t>
          </m:r>
          <m:r>
            <m:t>3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Кондуктор.</w:t>
      </w:r>
      <w:r>
        <w:t xml:space="preserve"> </w:t>
      </w:r>
      <w:r>
        <w:t xml:space="preserve">Требуемый внутренний диаметр: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222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232</m:t>
          </m:r>
          <m:r>
            <m:rPr>
              <m:sty m:val="p"/>
            </m:rPr>
            <m:t>,</m:t>
          </m:r>
          <m:r>
            <m:t>3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Колонна 244,5 мм не подходит (наибольший внутренний диаметр 228,7 мм &lt; 232,3 мм). Принята колонна 273,1 мм с толщиной стенки 8,9 мм (d = 255,3 мм).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298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298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18</m:t>
          </m:r>
          <m:r>
            <m:rPr>
              <m:sty m:val="p"/>
            </m:rPr>
            <m:t>=</m:t>
          </m:r>
          <m:r>
            <m:t>334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349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ПодписьТаблицы"/>
      </w:pPr>
      <w:r>
        <w:t xml:space="preserve">Таблица 5 – Результаты расчёта диаметров (отечественная методика)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Кондуктор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Глубина спуска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L</m:t>
              </m:r>
            </m:oMath>
            <w:r>
              <w:rPr>
                <w:rFonts w:ascii="Times New Roman" w:hAnsi="Times New Roman"/>
                <w:sz w:val="24"/>
              </w:rPr>
              <w:t xml:space="preserve">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Наружный диаметр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273,1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Толщина стенки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 расчёту на прочность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10,4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Требуемый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≥ 156,0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≥ 232,3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Внутренний диаметр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157,0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255,3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Диаметр муфты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127,0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194,5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298,5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Зазор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Δ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Расчётный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143,0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220,5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334,5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Долото по ГОСТ 20692,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146,0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222,3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349,2</w:t>
            </w:r>
          </w:p>
        </w:tc>
      </w:tr>
    </w:tbl>
    <w:bookmarkEnd w:id="29"/>
    <w:bookmarkStart w:id="33" w:name="схема-конструкции-скважины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Схема конструкции скважины</w:t>
      </w:r>
    </w:p>
    <w:p>
      <w:pPr>
        <w:pStyle w:val="FirstParagraph"/>
      </w:pPr>
      <w:r>
        <w:t xml:space="preserve">Схема спроектированной конструкции скважины приведена на рисунке 2 (обозначения — как в [1]: D — диаметры обсадных колонн, L — глубины спуска, d — диаметры долот, H — кровля цементного камня).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3959999" cy="4751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рисунки/рис2_схема_конструкции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75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2 – Схема конструкции скважины</w:t>
      </w:r>
    </w:p>
    <w:bookmarkEnd w:id="33"/>
    <w:bookmarkStart w:id="37" w:name="X13a3ca2e9fa3e453fe2c52720020fe0a8798245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Выбор диаметров по зарубежной методике и сравнение результатов</w:t>
      </w:r>
    </w:p>
    <w:p>
      <w:pPr>
        <w:pStyle w:val="FirstParagraph"/>
      </w:pPr>
      <w:r>
        <w:t xml:space="preserve">По зарубежной методике диаметры обсадных колонн и долот подбираются по схеме соответствия (рисунок 3): от диаметра эксплуатационной колонны по стрелкам последовательно выбираются диаметр долота, затем диаметр следующей колонны и т.д. Чёрные стрелки соответствуют стандартному зазору (Standard), серые — уменьшенному (Low Clearance). Выбор выполнен по схеме в дюймах (1 дюйм = 25,4 мм) с переводом в миллиметры.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5334000" cy="24318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рисунки/рис3_зарубежная_схема_выбор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3 – Схема подбора диаметров обсадных колонн и долот (зарубежная методика); выбранная цепочка выделена</w:t>
      </w:r>
    </w:p>
    <w:p>
      <w:pPr>
        <w:pStyle w:val="BodyText"/>
      </w:pPr>
      <w:r>
        <w:t xml:space="preserve">По стандартному зазору от колонны 4 1/2” (114,3 мм) получена цепочка: долото 6” (152,4 мм) → колонна 7” (177,8 мм) → долото 8 1/2” (215,9 мм) → колонна 9 5/8” (244,5 мм) → долото 12 1/4” (311,2 мм). Сравнение с отечественной методикой приведено в таблице 6.</w:t>
      </w:r>
    </w:p>
    <w:p>
      <w:pPr>
        <w:pStyle w:val="ПодписьТаблицы"/>
      </w:pPr>
      <w:r>
        <w:t xml:space="preserve">Таблица 6 – Сравнение результатов отечественной и зарубежной методик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Колонна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ОК (РФ),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Долото (РФ),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ОК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Долото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факт.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норм. (РФ), мм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 (4 1/2”)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152,4 (6”)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222,3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 (7”)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215,9 (8 1/2”)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273,1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349,2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244,5 (9 5/8”)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311,2 (12 1/4”)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20,7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</w:tr>
    </w:tbl>
    <w:p>
      <w:pPr>
        <w:pStyle w:val="BodyText"/>
        <w:spacing w:before="160"/>
      </w:pPr>
      <w:r>
        <w:t xml:space="preserve">Фактический зазор для зарубежного варианта рассчитан как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 теми же муфтами ОТТМ.</w:t>
      </w:r>
    </w:p>
    <w:p>
      <w:pPr>
        <w:pStyle w:val="BodyText"/>
      </w:pPr>
      <w:r>
        <w:t xml:space="preserve">Анализ результатов:</w:t>
      </w:r>
    </w:p>
    <w:p>
      <w:pPr>
        <w:numPr>
          <w:ilvl w:val="0"/>
          <w:numId w:val="1003"/>
        </w:numPr>
      </w:pPr>
      <w:r>
        <w:t xml:space="preserve">Диаметры эксплуатационной (114,3 мм) и промежуточной (177,8 мм) колонн по обеим методикам совпадают.</w:t>
      </w:r>
    </w:p>
    <w:p>
      <w:pPr>
        <w:numPr>
          <w:ilvl w:val="0"/>
          <w:numId w:val="1003"/>
        </w:numPr>
      </w:pPr>
      <w:r>
        <w:t xml:space="preserve">Под эксплуатационную колонну зарубежная схема даёт долото 152,4 мм (6”) — больше, чем по отечественной методике (146,0 мм). Такого диаметра нет в ряду ГОСТ 20692-2003 (ближайшие 151,0 и 161,0 мм).</w:t>
      </w:r>
    </w:p>
    <w:p>
      <w:pPr>
        <w:numPr>
          <w:ilvl w:val="0"/>
          <w:numId w:val="1003"/>
        </w:numPr>
      </w:pPr>
      <w:r>
        <w:t xml:space="preserve">Под промежуточную колонну зарубежная схема даёт долото 215,9 мм (8 1/2”), при котором зазор между муфтой и стенкой скважины 10,7 мм — меньше нормативных 13 мм. Поэтому по отечественной методике принято долото 222,3 мм (8 3/4”), которое уже не проходит в колонну 244,5 мм (наибольший внутренний диаметр 228,7 мм &lt; 232,3 мм). Из-за этого по отечественной методике кондуктор получился 273,1 мм (10 3/4”), а по зарубежной — 244,5 мм (9 5/8”).</w:t>
      </w:r>
    </w:p>
    <w:p>
      <w:pPr>
        <w:pStyle w:val="FirstParagraph"/>
      </w:pPr>
      <w:r>
        <w:t xml:space="preserve">При работе со схемой в миллиметрах (семинар 1, стр. 18) замечено, что в ветви колонны 177,8 мм подписи узлов не соответствуют дюймовой схеме (вместо долота 215,9 мм указано 177,8 мм, вместо колонны 244,5/250,8 мм — 215,9 мм), поэтому выбор выполнен по схеме в дюймах.</w:t>
      </w:r>
    </w:p>
    <w:p>
      <w:pPr>
        <w:pStyle w:val="BodyText"/>
      </w:pPr>
      <w:r>
        <w:rPr>
          <w:bCs/>
          <w:b/>
        </w:rPr>
        <w:t xml:space="preserve">Вывод:</w:t>
      </w:r>
      <w:r>
        <w:t xml:space="preserve"> </w:t>
      </w:r>
      <w:r>
        <w:t xml:space="preserve">зарубежная методика даёт аналогичный результат для эксплуатационной и промежуточной колонн, но за счёт меньших допускаемых радиальных зазоров приводит к меньшим диаметрам кондуктора (244,5 мм вместо 273,1 мм) и долота под него (311,2 мм вместо 349,2 мм). Отечественная методика более консервативна: увеличенные зазоры облегчают спуск колонн и повышают качество цементирования, что важно для газовой скважины с АВПД. Зарубежная — снижает металлоёмкость и объёмы работ.</w:t>
      </w:r>
    </w:p>
    <w:bookmarkEnd w:id="37"/>
    <w:bookmarkStart w:id="38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работе спроектирована конструкция газовой скважины глубиной 2100 м:</w:t>
      </w:r>
    </w:p>
    <w:p>
      <w:pPr>
        <w:numPr>
          <w:ilvl w:val="0"/>
          <w:numId w:val="1004"/>
        </w:numPr>
      </w:pPr>
      <w:r>
        <w:t xml:space="preserve">рассчитаны индексы давлений и относительная плотность бурового раствора: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для интервала 0–1000 м 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40</m:t>
        </m:r>
      </m:oMath>
      <w:r>
        <w:t xml:space="preserve"> </w:t>
      </w:r>
      <w:r>
        <w:t xml:space="preserve">для интервала 1000–2100 м;</w:t>
      </w:r>
    </w:p>
    <w:p>
      <w:pPr>
        <w:numPr>
          <w:ilvl w:val="0"/>
          <w:numId w:val="1004"/>
        </w:numPr>
      </w:pPr>
      <w:r>
        <w:t xml:space="preserve">по совмещённому графику давлений выявлена несовместимость условий бурения интервалов 0–1000 м и 1000–2100 м (песчаник с АВПД);</w:t>
      </w:r>
    </w:p>
    <w:p>
      <w:pPr>
        <w:numPr>
          <w:ilvl w:val="0"/>
          <w:numId w:val="1004"/>
        </w:numPr>
      </w:pPr>
      <w:r>
        <w:t xml:space="preserve">принята трёхколонная конструкция: кондуктор 273,1 мм на 260 м (долото 349,2 мм), промежуточная колонна 177,8 мм на 1000 м (долото 222,3 мм), эксплуатационная колонна 114,3 мм на 2100 м (долото 146,0 мм);</w:t>
      </w:r>
    </w:p>
    <w:p>
      <w:pPr>
        <w:numPr>
          <w:ilvl w:val="0"/>
          <w:numId w:val="1004"/>
        </w:numPr>
      </w:pPr>
      <w:r>
        <w:t xml:space="preserve">кондуктор и промежуточная колонна цементируются до устья, эксплуатационная — в интервале 500–2100 м;</w:t>
      </w:r>
    </w:p>
    <w:p>
      <w:pPr>
        <w:numPr>
          <w:ilvl w:val="0"/>
          <w:numId w:val="1004"/>
        </w:numPr>
      </w:pPr>
      <w:r>
        <w:t xml:space="preserve">зарубежная методика даёт те же диаметры эксплуатационной и промежуточной колонн, но меньший диаметр кондуктора (244,5 мм) за счёт меньших допускаемых зазоров.</w:t>
      </w:r>
    </w:p>
    <w:bookmarkEnd w:id="38"/>
    <w:bookmarkStart w:id="39" w:name="список-использованных-источников"/>
    <w:p>
      <w:pPr>
        <w:pStyle w:val="Heading1"/>
      </w:pPr>
      <w:r>
        <w:t xml:space="preserve">СПИСОК ИСПОЛЬЗОВАННЫХ ИСТОЧНИКОВ</w:t>
      </w:r>
    </w:p>
    <w:p>
      <w:pPr>
        <w:numPr>
          <w:ilvl w:val="0"/>
          <w:numId w:val="1005"/>
        </w:numPr>
        <w:pStyle w:val="Литература"/>
      </w:pPr>
      <w:r>
        <w:t xml:space="preserve">Проектирование конструкции скважины: материалы практического занятия № 1 по дисциплине «Технология бурения скважин». — М.: РГУ нефти и газа (НИУ) имени И.М. Губкина, кафедра бурения нефтяных и газовых скважин.</w:t>
      </w:r>
    </w:p>
    <w:p>
      <w:pPr>
        <w:numPr>
          <w:ilvl w:val="0"/>
          <w:numId w:val="1005"/>
        </w:numPr>
        <w:pStyle w:val="Литература"/>
      </w:pPr>
      <w:r>
        <w:t xml:space="preserve">ГОСТ 632-80. Трубы обсадные и муфты к ним. Технические условия.</w:t>
      </w:r>
    </w:p>
    <w:p>
      <w:pPr>
        <w:numPr>
          <w:ilvl w:val="0"/>
          <w:numId w:val="1005"/>
        </w:numPr>
        <w:pStyle w:val="Литература"/>
      </w:pPr>
      <w:r>
        <w:t xml:space="preserve">ГОСТ 20692-2003. Долота шарошечные. Технические условия.</w:t>
      </w:r>
    </w:p>
    <w:p>
      <w:pPr>
        <w:numPr>
          <w:ilvl w:val="0"/>
          <w:numId w:val="1005"/>
        </w:numPr>
        <w:pStyle w:val="Литература"/>
      </w:pPr>
      <w:r>
        <w:t xml:space="preserve">Правила безопасности в нефтяной и газовой промышленности (ПБ 08-624-03).</w:t>
      </w:r>
    </w:p>
    <w:bookmarkEnd w:id="39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spacing w:before="0" w:after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pPr>
      <w:keepNext w:val="0"/>
      <w:spacing w:after="0" w:before="0" w:line="360" w:lineRule="auto"/>
      <w:ind w:firstLine="709" w:left="0"/>
      <w:jc w:val="both"/>
    </w:pPr>
    <w:qFormat/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keepNext w:val="0"/>
      <w:spacing w:before="0" w:after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keepNext w:val="0"/>
      <w:spacing w:after="0" w:before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40" w:before="24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240" w:before="24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Литература">
    <w:name w:val="Литература"/>
    <w:basedOn w:val="BodyText"/>
    <w:qFormat/>
    <w:pPr>
      <w:keepNext w:val="0"/>
      <w:spacing w:before="0" w:after="0" w:line="360" w:lineRule="auto"/>
      <w:ind w:left="0" w:firstLine="709"/>
      <w:jc w:val="both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ПодписьРисунка">
    <w:name w:val="ПодписьРисунка"/>
    <w:basedOn w:val="BodyText"/>
    <w:qFormat/>
    <w:pPr>
      <w:keepNext w:val="0"/>
      <w:spacing w:before="0" w:after="12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ПодписьТаблицы">
    <w:name w:val="ПодписьТаблицы"/>
    <w:basedOn w:val="BodyText"/>
    <w:qFormat/>
    <w:pPr>
      <w:keepNext/>
      <w:spacing w:before="120" w:after="0" w:line="360" w:lineRule="auto"/>
      <w:ind w:firstLine="0" w:left="0"/>
      <w:jc w:val="left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">
    <w:name w:val="Титул"/>
    <w:basedOn w:val="BodyText"/>
    <w:qFormat/>
    <w:pPr>
      <w:keepNext w:val="0"/>
      <w:spacing w:before="0" w:after="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Заголовок">
    <w:name w:val="ТитулЗаголовок"/>
    <w:basedOn w:val="BodyText"/>
    <w:qFormat/>
    <w:pPr>
      <w:keepNext w:val="0"/>
      <w:spacing w:before="0" w:after="0" w:line="360" w:lineRule="auto"/>
      <w:ind w:firstLine="0" w:left="0"/>
      <w:jc w:val="center"/>
    </w:pPr>
    <w:rPr>
      <w:rFonts w:ascii="Times New Roman" w:hAnsi="Times New Roman" w:cs="Times New Roman" w:eastAsia="Times New Roman"/>
      <w:b/>
      <w:color w:val="000000"/>
      <w:sz w:val="40"/>
    </w:rPr>
  </w:style>
  <w:style w:type="paragraph" w:customStyle="1" w:styleId="ТитулОтступ">
    <w:name w:val="ТитулОтступ"/>
    <w:basedOn w:val="BodyText"/>
    <w:qFormat/>
    <w:pPr>
      <w:keepNext w:val="0"/>
      <w:spacing w:before="1200" w:after="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Подписи">
    <w:name w:val="ТитулПодписи"/>
    <w:basedOn w:val="BodyText"/>
    <w:qFormat/>
    <w:pPr>
      <w:keepNext w:val="0"/>
      <w:spacing w:before="0" w:after="0" w:line="360" w:lineRule="auto"/>
      <w:ind w:firstLine="0" w:left="4535"/>
      <w:jc w:val="left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ДЗ-1. Проектирование конструкции скважины. Вариант 7</dc:title>
  <dc:creator>Фамилия И.О.</dc:creator>
  <cp:keywords/>
  <dcterms:created xsi:type="dcterms:W3CDTF">2026-10-08T07:17:23Z</dcterms:created>
  <dcterms:modified xsi:type="dcterms:W3CDTF">2026-10-08T07:17:23Z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