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sz w:val="20"/>
          <w:szCs w:val="20"/>
          <w:rtl w:val="0"/>
        </w:rPr>
        <w:t xml:space="preserve">Supplementary Table 1</w:t>
      </w:r>
      <w:r w:rsidDel="00000000" w:rsidR="00000000" w:rsidRPr="00000000">
        <w:rPr>
          <w:rFonts w:ascii="Times New Roman" w:cs="Times New Roman" w:eastAsia="Times New Roman" w:hAnsi="Times New Roman"/>
          <w:b w:val="1"/>
          <w:color w:val="222222"/>
          <w:sz w:val="20"/>
          <w:szCs w:val="20"/>
          <w:rtl w:val="0"/>
        </w:rPr>
        <w:t xml:space="preserve">. </w:t>
      </w:r>
      <w:r w:rsidDel="00000000" w:rsidR="00000000" w:rsidRPr="00000000">
        <w:rPr>
          <w:rFonts w:ascii="Times New Roman" w:cs="Times New Roman" w:eastAsia="Times New Roman" w:hAnsi="Times New Roman"/>
          <w:color w:val="222222"/>
          <w:sz w:val="20"/>
          <w:szCs w:val="20"/>
          <w:rtl w:val="0"/>
        </w:rPr>
        <w:t xml:space="preserve">Genomic-SEM models to evaluate the association between POAG and neurodegenerative disorders (AD, ALS and PD); models are in lavaan syntax.</w:t>
      </w:r>
    </w:p>
    <w:p w:rsidR="00000000" w:rsidDel="00000000" w:rsidP="00000000" w:rsidRDefault="00000000" w:rsidRPr="00000000" w14:paraId="00000002">
      <w:pPr>
        <w:spacing w:line="240" w:lineRule="auto"/>
        <w:jc w:val="both"/>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Supplementary Table 2.</w:t>
      </w:r>
      <w:r w:rsidDel="00000000" w:rsidR="00000000" w:rsidRPr="00000000">
        <w:rPr>
          <w:rFonts w:ascii="Times New Roman" w:cs="Times New Roman" w:eastAsia="Times New Roman" w:hAnsi="Times New Roman"/>
          <w:sz w:val="20"/>
          <w:szCs w:val="20"/>
          <w:rtl w:val="0"/>
        </w:rPr>
        <w:t xml:space="preserve"> Genetic correlation between four neurodegenerative conditions, </w:t>
      </w:r>
      <w:r w:rsidDel="00000000" w:rsidR="00000000" w:rsidRPr="00000000">
        <w:rPr>
          <w:rFonts w:ascii="Times New Roman" w:cs="Times New Roman" w:eastAsia="Times New Roman" w:hAnsi="Times New Roman"/>
          <w:color w:val="202124"/>
          <w:sz w:val="20"/>
          <w:szCs w:val="20"/>
          <w:highlight w:val="white"/>
          <w:rtl w:val="0"/>
        </w:rPr>
        <w:t xml:space="preserve">Alzheimer's disease (AD), frontotemporal dementia (FTD), Amyotrophic lateral sclerosis (ALS), Parkinson's disease (PD)</w:t>
      </w:r>
      <w:r w:rsidDel="00000000" w:rsidR="00000000" w:rsidRPr="00000000">
        <w:rPr>
          <w:rFonts w:ascii="Times New Roman" w:cs="Times New Roman" w:eastAsia="Times New Roman" w:hAnsi="Times New Roman"/>
          <w:sz w:val="20"/>
          <w:szCs w:val="20"/>
          <w:rtl w:val="0"/>
        </w:rPr>
        <w:t xml:space="preserve">, and primary open-angle glaucoma (POAG) related phenotypes; high tension glaucoma (HTG), normal tension glaucoma (NTG), vertical cup-to-disk ratio (VCDR), macular thickness (MT), intraocular pressure (IOP), retinal nerve fibre layer (RNFL), ganglion cell-inner plexiform layer (GCIPL).</w:t>
      </w:r>
    </w:p>
    <w:p w:rsidR="00000000" w:rsidDel="00000000" w:rsidP="00000000" w:rsidRDefault="00000000" w:rsidRPr="00000000" w14:paraId="00000004">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05">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Supplementary Table 3. </w:t>
      </w:r>
      <w:r w:rsidDel="00000000" w:rsidR="00000000" w:rsidRPr="00000000">
        <w:rPr>
          <w:rFonts w:ascii="Times New Roman" w:cs="Times New Roman" w:eastAsia="Times New Roman" w:hAnsi="Times New Roman"/>
          <w:sz w:val="20"/>
          <w:szCs w:val="20"/>
          <w:rtl w:val="0"/>
        </w:rPr>
        <w:t xml:space="preserve">Genomic SEM model fit and correlation values. </w:t>
      </w:r>
    </w:p>
    <w:p w:rsidR="00000000" w:rsidDel="00000000" w:rsidP="00000000" w:rsidRDefault="00000000" w:rsidRPr="00000000" w14:paraId="00000006">
      <w:pPr>
        <w:spacing w:lin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sz w:val="20"/>
          <w:szCs w:val="20"/>
          <w:rtl w:val="0"/>
        </w:rPr>
        <w:t xml:space="preserve">Supplementary Table 4</w:t>
      </w:r>
      <w:r w:rsidDel="00000000" w:rsidR="00000000" w:rsidRPr="00000000">
        <w:rPr>
          <w:rFonts w:ascii="Times New Roman" w:cs="Times New Roman" w:eastAsia="Times New Roman" w:hAnsi="Times New Roman"/>
          <w:b w:val="1"/>
          <w:color w:val="222222"/>
          <w:sz w:val="20"/>
          <w:szCs w:val="20"/>
          <w:rtl w:val="0"/>
        </w:rPr>
        <w:t xml:space="preserve">. </w:t>
      </w:r>
      <w:r w:rsidDel="00000000" w:rsidR="00000000" w:rsidRPr="00000000">
        <w:rPr>
          <w:rFonts w:ascii="Times New Roman" w:cs="Times New Roman" w:eastAsia="Times New Roman" w:hAnsi="Times New Roman"/>
          <w:color w:val="222222"/>
          <w:sz w:val="20"/>
          <w:szCs w:val="20"/>
          <w:rtl w:val="0"/>
        </w:rPr>
        <w:t xml:space="preserve"> Shared regions between neurodegenerative disorders and POAG or POAG-related phenotypes, based on the GWAS-PW posterior probability of a shared region with a common causal variant (PPA) and local correlation using LAVA. </w:t>
      </w:r>
    </w:p>
    <w:p w:rsidR="00000000" w:rsidDel="00000000" w:rsidP="00000000" w:rsidRDefault="00000000" w:rsidRPr="00000000" w14:paraId="00000007">
      <w:pPr>
        <w:spacing w:line="240" w:lineRule="auto"/>
        <w:jc w:val="both"/>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sz w:val="20"/>
          <w:szCs w:val="20"/>
          <w:rtl w:val="0"/>
        </w:rPr>
        <w:t xml:space="preserve">Supplementary Table 5.</w:t>
      </w:r>
      <w:r w:rsidDel="00000000" w:rsidR="00000000" w:rsidRPr="00000000">
        <w:rPr>
          <w:rFonts w:ascii="Times New Roman" w:cs="Times New Roman" w:eastAsia="Times New Roman" w:hAnsi="Times New Roman"/>
          <w:sz w:val="20"/>
          <w:szCs w:val="20"/>
          <w:rtl w:val="0"/>
        </w:rPr>
        <w:t xml:space="preserve"> Causal </w:t>
      </w:r>
      <w:r w:rsidDel="00000000" w:rsidR="00000000" w:rsidRPr="00000000">
        <w:rPr>
          <w:rFonts w:ascii="Times New Roman" w:cs="Times New Roman" w:eastAsia="Times New Roman" w:hAnsi="Times New Roman"/>
          <w:color w:val="222222"/>
          <w:sz w:val="20"/>
          <w:szCs w:val="20"/>
          <w:rtl w:val="0"/>
        </w:rPr>
        <w:t xml:space="preserve">association of the</w:t>
      </w:r>
      <w:r w:rsidDel="00000000" w:rsidR="00000000" w:rsidRPr="00000000">
        <w:rPr>
          <w:rFonts w:ascii="Times New Roman" w:cs="Times New Roman" w:eastAsia="Times New Roman" w:hAnsi="Times New Roman"/>
          <w:i w:val="1"/>
          <w:color w:val="222222"/>
          <w:sz w:val="20"/>
          <w:szCs w:val="20"/>
          <w:rtl w:val="0"/>
        </w:rPr>
        <w:t xml:space="preserve"> </w:t>
      </w:r>
      <w:r w:rsidDel="00000000" w:rsidR="00000000" w:rsidRPr="00000000">
        <w:rPr>
          <w:rFonts w:ascii="Times New Roman" w:cs="Times New Roman" w:eastAsia="Times New Roman" w:hAnsi="Times New Roman"/>
          <w:color w:val="222222"/>
          <w:sz w:val="20"/>
          <w:szCs w:val="20"/>
          <w:rtl w:val="0"/>
        </w:rPr>
        <w:t xml:space="preserve">gene expression on POAG-related phenotypes, Alzheimer’s (AD) and Parkinson’s disease (PD) based on the SMR of peripheral blood eQTL data.</w:t>
      </w:r>
    </w:p>
    <w:p w:rsidR="00000000" w:rsidDel="00000000" w:rsidP="00000000" w:rsidRDefault="00000000" w:rsidRPr="00000000" w14:paraId="00000009">
      <w:pPr>
        <w:spacing w:line="240" w:lineRule="auto"/>
        <w:jc w:val="both"/>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Supplementary Table 6. </w:t>
      </w:r>
      <w:r w:rsidDel="00000000" w:rsidR="00000000" w:rsidRPr="00000000">
        <w:rPr>
          <w:rFonts w:ascii="Times New Roman" w:cs="Times New Roman" w:eastAsia="Times New Roman" w:hAnsi="Times New Roman"/>
          <w:color w:val="222222"/>
          <w:sz w:val="20"/>
          <w:szCs w:val="20"/>
          <w:rtl w:val="0"/>
        </w:rPr>
        <w:t xml:space="preserve"> Significant causal associations between glaucoma endophenotypes and  T1 volume of brain regions based on GSMR. beta shows the effect of one SD unit change of the exposure on the outcome.</w:t>
      </w:r>
    </w:p>
    <w:p w:rsidR="00000000" w:rsidDel="00000000" w:rsidP="00000000" w:rsidRDefault="00000000" w:rsidRPr="00000000" w14:paraId="0000000B">
      <w:pPr>
        <w:spacing w:line="240" w:lineRule="auto"/>
        <w:jc w:val="both"/>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Supplementary Table 7.</w:t>
      </w:r>
      <w:r w:rsidDel="00000000" w:rsidR="00000000" w:rsidRPr="00000000">
        <w:rPr>
          <w:rFonts w:ascii="Times New Roman" w:cs="Times New Roman" w:eastAsia="Times New Roman" w:hAnsi="Times New Roman"/>
          <w:color w:val="222222"/>
          <w:sz w:val="20"/>
          <w:szCs w:val="20"/>
          <w:rtl w:val="0"/>
        </w:rPr>
        <w:t xml:space="preserve"> Significant causal associations between glaucoma endophenotypes and freesurfer ASEG volume of brain regions based on GSMR. beta shows the effect of one SD unit change of the exposure on the outcome.</w:t>
      </w:r>
    </w:p>
    <w:p w:rsidR="00000000" w:rsidDel="00000000" w:rsidP="00000000" w:rsidRDefault="00000000" w:rsidRPr="00000000" w14:paraId="0000000D">
      <w:pPr>
        <w:spacing w:line="240" w:lineRule="auto"/>
        <w:jc w:val="both"/>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Supplementary Table 8.</w:t>
      </w:r>
      <w:r w:rsidDel="00000000" w:rsidR="00000000" w:rsidRPr="00000000">
        <w:rPr>
          <w:rFonts w:ascii="Times New Roman" w:cs="Times New Roman" w:eastAsia="Times New Roman" w:hAnsi="Times New Roman"/>
          <w:color w:val="222222"/>
          <w:sz w:val="20"/>
          <w:szCs w:val="20"/>
          <w:rtl w:val="0"/>
        </w:rPr>
        <w:t xml:space="preserve"> Significant causal association between glaucoma endophenotypes and freesurfer parcellation based in the Desikan-Killiany brain atlas on GSMR. beta shows the effect of one SD unit change of the exposure on the outcome.</w:t>
      </w:r>
    </w:p>
    <w:p w:rsidR="00000000" w:rsidDel="00000000" w:rsidP="00000000" w:rsidRDefault="00000000" w:rsidRPr="00000000" w14:paraId="0000000F">
      <w:pPr>
        <w:spacing w:line="240" w:lineRule="auto"/>
        <w:jc w:val="both"/>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Supplementary Table 9. </w:t>
      </w:r>
      <w:r w:rsidDel="00000000" w:rsidR="00000000" w:rsidRPr="00000000">
        <w:rPr>
          <w:rFonts w:ascii="Times New Roman" w:cs="Times New Roman" w:eastAsia="Times New Roman" w:hAnsi="Times New Roman"/>
          <w:color w:val="222222"/>
          <w:sz w:val="20"/>
          <w:szCs w:val="20"/>
          <w:rtl w:val="0"/>
        </w:rPr>
        <w:t xml:space="preserve">Causal association between glaucoma endophenotypes and MRI structural brain measurements based on different MR methods.</w:t>
      </w:r>
    </w:p>
    <w:p w:rsidR="00000000" w:rsidDel="00000000" w:rsidP="00000000" w:rsidRDefault="00000000" w:rsidRPr="00000000" w14:paraId="00000011">
      <w:pPr>
        <w:spacing w:line="240" w:lineRule="auto"/>
        <w:jc w:val="both"/>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sz w:val="20"/>
          <w:szCs w:val="20"/>
          <w:rtl w:val="0"/>
        </w:rPr>
        <w:t xml:space="preserve">Supplementary Table 10. </w:t>
      </w:r>
      <w:r w:rsidDel="00000000" w:rsidR="00000000" w:rsidRPr="00000000">
        <w:rPr>
          <w:rFonts w:ascii="Times New Roman" w:cs="Times New Roman" w:eastAsia="Times New Roman" w:hAnsi="Times New Roman"/>
          <w:sz w:val="20"/>
          <w:szCs w:val="20"/>
          <w:rtl w:val="0"/>
        </w:rPr>
        <w:t xml:space="preserve">Multivariate MR association </w:t>
      </w:r>
      <w:r w:rsidDel="00000000" w:rsidR="00000000" w:rsidRPr="00000000">
        <w:rPr>
          <w:rFonts w:ascii="Times New Roman" w:cs="Times New Roman" w:eastAsia="Times New Roman" w:hAnsi="Times New Roman"/>
          <w:color w:val="222222"/>
          <w:sz w:val="20"/>
          <w:szCs w:val="20"/>
          <w:rtl w:val="0"/>
        </w:rPr>
        <w:t xml:space="preserve">between glaucoma endophenotypes, intraocular pressure (IOP), </w:t>
      </w:r>
      <w:r w:rsidDel="00000000" w:rsidR="00000000" w:rsidRPr="00000000">
        <w:rPr>
          <w:rFonts w:ascii="Times New Roman" w:cs="Times New Roman" w:eastAsia="Times New Roman" w:hAnsi="Times New Roman"/>
          <w:sz w:val="20"/>
          <w:szCs w:val="20"/>
          <w:highlight w:val="white"/>
          <w:rtl w:val="0"/>
        </w:rPr>
        <w:t xml:space="preserve">Retinal Nerve Fiber Layer (RNFL), Ganglion Cell-Inner Plexiform Layer (GCIPL)</w:t>
      </w:r>
      <w:r w:rsidDel="00000000" w:rsidR="00000000" w:rsidRPr="00000000">
        <w:rPr>
          <w:rFonts w:ascii="Times New Roman" w:cs="Times New Roman" w:eastAsia="Times New Roman" w:hAnsi="Times New Roman"/>
          <w:color w:val="222222"/>
          <w:sz w:val="20"/>
          <w:szCs w:val="20"/>
          <w:rtl w:val="0"/>
        </w:rPr>
        <w:t xml:space="preserve">  and MRI structural brain measurements and mediated by cerebrospinal fluid (CSF) and systolic blood pressure(SBP). </w:t>
      </w:r>
    </w:p>
    <w:p w:rsidR="00000000" w:rsidDel="00000000" w:rsidP="00000000" w:rsidRDefault="00000000" w:rsidRPr="00000000" w14:paraId="00000013">
      <w:pPr>
        <w:spacing w:line="240" w:lineRule="auto"/>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rtl w:val="0"/>
        </w:rPr>
        <w:t xml:space="preserve">Supplementary Table 11. </w:t>
      </w:r>
      <w:r w:rsidDel="00000000" w:rsidR="00000000" w:rsidRPr="00000000">
        <w:rPr>
          <w:rFonts w:ascii="Times New Roman" w:cs="Times New Roman" w:eastAsia="Times New Roman" w:hAnsi="Times New Roman"/>
          <w:sz w:val="20"/>
          <w:szCs w:val="20"/>
          <w:rtl w:val="0"/>
        </w:rPr>
        <w:t xml:space="preserve">GSMR results for the causal effect of Alzheimer's (AD) on glaucoma and related phenotypes. </w:t>
      </w:r>
      <w:r w:rsidDel="00000000" w:rsidR="00000000" w:rsidRPr="00000000">
        <w:rPr>
          <w:rFonts w:ascii="Times New Roman" w:cs="Times New Roman" w:eastAsia="Times New Roman" w:hAnsi="Times New Roman"/>
          <w:sz w:val="20"/>
          <w:szCs w:val="20"/>
          <w:highlight w:val="white"/>
          <w:rtl w:val="0"/>
        </w:rPr>
        <w:t xml:space="preserve">None of these results reached the statistical significance threshold after correcting for multiple testing (p &lt; 2.4e-5).</w:t>
      </w:r>
    </w:p>
    <w:p w:rsidR="00000000" w:rsidDel="00000000" w:rsidP="00000000" w:rsidRDefault="00000000" w:rsidRPr="00000000" w14:paraId="00000015">
      <w:pPr>
        <w:spacing w:lin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sz w:val="20"/>
          <w:szCs w:val="20"/>
          <w:rtl w:val="0"/>
        </w:rPr>
        <w:t xml:space="preserve">Supplementary Table 12</w:t>
      </w:r>
      <w:r w:rsidDel="00000000" w:rsidR="00000000" w:rsidRPr="00000000">
        <w:rPr>
          <w:rFonts w:ascii="Times New Roman" w:cs="Times New Roman" w:eastAsia="Times New Roman" w:hAnsi="Times New Roman"/>
          <w:b w:val="1"/>
          <w:color w:val="222222"/>
          <w:sz w:val="20"/>
          <w:szCs w:val="20"/>
          <w:rtl w:val="0"/>
        </w:rPr>
        <w:t xml:space="preserve">.</w:t>
      </w:r>
      <w:r w:rsidDel="00000000" w:rsidR="00000000" w:rsidRPr="00000000">
        <w:rPr>
          <w:rFonts w:ascii="Times New Roman" w:cs="Times New Roman" w:eastAsia="Times New Roman" w:hAnsi="Times New Roman"/>
          <w:color w:val="222222"/>
          <w:sz w:val="20"/>
          <w:szCs w:val="20"/>
          <w:rtl w:val="0"/>
        </w:rPr>
        <w:t xml:space="preserve"> Phenotypic association between glaucoma-related phenotypes and brain structure. </w:t>
      </w:r>
    </w:p>
    <w:p w:rsidR="00000000" w:rsidDel="00000000" w:rsidP="00000000" w:rsidRDefault="00000000" w:rsidRPr="00000000" w14:paraId="00000017">
      <w:pPr>
        <w:spacing w:line="36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sz w:val="20"/>
          <w:szCs w:val="20"/>
          <w:rtl w:val="0"/>
        </w:rPr>
        <w:t xml:space="preserve">Supplementary Table 1</w:t>
      </w:r>
      <w:r w:rsidDel="00000000" w:rsidR="00000000" w:rsidRPr="00000000">
        <w:rPr>
          <w:rFonts w:ascii="Times New Roman" w:cs="Times New Roman" w:eastAsia="Times New Roman" w:hAnsi="Times New Roman"/>
          <w:b w:val="1"/>
          <w:color w:val="222222"/>
          <w:sz w:val="20"/>
          <w:szCs w:val="20"/>
          <w:rtl w:val="0"/>
        </w:rPr>
        <w:t xml:space="preserve">3.</w:t>
      </w:r>
      <w:r w:rsidDel="00000000" w:rsidR="00000000" w:rsidRPr="00000000">
        <w:rPr>
          <w:rFonts w:ascii="Times New Roman" w:cs="Times New Roman" w:eastAsia="Times New Roman" w:hAnsi="Times New Roman"/>
          <w:color w:val="222222"/>
          <w:sz w:val="20"/>
          <w:szCs w:val="20"/>
          <w:rtl w:val="0"/>
        </w:rPr>
        <w:t xml:space="preserve">  Effect estimate of instrumental variants used in the IVW MR analysis. </w:t>
      </w:r>
    </w:p>
    <w:p w:rsidR="00000000" w:rsidDel="00000000" w:rsidP="00000000" w:rsidRDefault="00000000" w:rsidRPr="00000000" w14:paraId="00000018">
      <w:pPr>
        <w:spacing w:line="360" w:lineRule="auto"/>
        <w:jc w:val="both"/>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color w:val="222222"/>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