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ALT YÜKLENİCİLİK SÖZLEŞMESİ</w:t>
      </w:r>
    </w:p>
    <w:p>
      <w:r>
        <w:br w:type="page"/>
      </w:r>
    </w:p>
    <w:p>
      <w:pPr>
        <w:pStyle w:val="Heading1"/>
      </w:pPr>
      <w:r>
        <w:t>Demir (Donatı) İşçiliği ve Kalıp İşleri — Kocaeli Gündoğdu Kültür Merkezi</w:t>
      </w:r>
    </w:p>
    <w:p>
      <w:r>
        <w:rPr>
          <w:rFonts w:ascii="Calibri" w:hAnsi="Calibri"/>
          <w:b w:val="0"/>
          <w:i/>
          <w:color w:val="444444"/>
          <w:sz w:val="20"/>
        </w:rPr>
        <w:t>**ÖNEMLİ UYARI — HUKUKİ BİLGİLENDİRME**</w:t>
      </w:r>
    </w:p>
    <w:p>
      <w:r>
        <w:rPr>
          <w:rFonts w:ascii="Calibri" w:hAnsi="Calibri"/>
          <w:b w:val="0"/>
          <w:i/>
          <w:color w:val="444444"/>
          <w:sz w:val="20"/>
        </w:rPr>
        <w:t>Bu metin, **hukuki danışmanlık değildir**; genel nitelikte **taslak / şablondur**.</w:t>
      </w:r>
    </w:p>
    <w:p>
      <w:r>
        <w:rPr>
          <w:rFonts w:ascii="Calibri" w:hAnsi="Calibri"/>
          <w:b w:val="0"/>
          <w:i/>
          <w:color w:val="444444"/>
          <w:sz w:val="20"/>
        </w:rPr>
        <w:t>İmza öncesi mutlaka **inşaat hukuku ve iş/vergi mevzuatına hakim bir avukat** ile **SMM/mali müşavir** ve gerekiyorsa **İSG uzmanı** incelemesi yaptırınız.</w:t>
      </w:r>
    </w:p>
    <w:p>
      <w:r>
        <w:rPr>
          <w:rFonts w:ascii="Calibri" w:hAnsi="Calibri"/>
          <w:b w:val="0"/>
          <w:i/>
          <w:color w:val="444444"/>
          <w:sz w:val="20"/>
        </w:rPr>
        <w:t>Tarafların unvan, vergi numarası, adres, SGK dosya numaraları ve boş alanlar imza öncesi eksiksiz doldurulmalıdır.</w:t>
      </w:r>
    </w:p>
    <w:p/>
    <w:p>
      <w:r>
        <w:rPr>
          <w:rFonts w:ascii="Calibri" w:hAnsi="Calibri"/>
          <w:b w:val="0"/>
          <w:i w:val="0"/>
          <w:sz w:val="22"/>
        </w:rPr>
        <w:t xml:space="preserve">Sözleşme No: ____________________  </w:t>
      </w:r>
    </w:p>
    <w:p>
      <w:r>
        <w:rPr>
          <w:rFonts w:ascii="Calibri" w:hAnsi="Calibri"/>
          <w:b w:val="0"/>
          <w:i w:val="0"/>
          <w:sz w:val="22"/>
        </w:rPr>
        <w:t xml:space="preserve">Tarih / Yer: ____ / ____ / 20____ — ____________________  </w:t>
      </w:r>
    </w:p>
    <w:p/>
    <w:p>
      <w:r>
        <w:br w:type="page"/>
      </w:r>
    </w:p>
    <w:p>
      <w:pPr>
        <w:pStyle w:val="Heading1"/>
      </w:pPr>
      <w:r>
        <w:t>TARAFLAR</w:t>
      </w:r>
    </w:p>
    <w:p>
      <w:r>
        <w:rPr>
          <w:rFonts w:ascii="Calibri" w:hAnsi="Calibri"/>
          <w:b w:val="0"/>
          <w:i w:val="0"/>
          <w:sz w:val="22"/>
        </w:rPr>
        <w:t xml:space="preserve">1) İŞVEREN (1. derece taşeron / alt yüklenici — ana firmadan işi alan taraf)  </w:t>
      </w:r>
    </w:p>
    <w:p>
      <w:r>
        <w:rPr>
          <w:rFonts w:ascii="Calibri" w:hAnsi="Calibri"/>
          <w:b w:val="0"/>
          <w:i w:val="0"/>
          <w:sz w:val="22"/>
        </w:rPr>
        <w:t xml:space="preserve">*(Bundan sonra “İŞVEREN”)*  </w:t>
      </w:r>
    </w:p>
    <w:tbl>
      <w:tblPr>
        <w:tblStyle w:val="TableGrid"/>
        <w:tblW w:type="auto" w:w="0"/>
        <w:tblLook w:firstColumn="1" w:firstRow="1" w:lastColumn="0" w:lastRow="0" w:noHBand="0" w:noVBand="1" w:val="04A0"/>
      </w:tblPr>
      <w:tblGrid>
        <w:gridCol w:w="4703"/>
        <w:gridCol w:w="4703"/>
      </w:tblGrid>
      <w:tr>
        <w:tc>
          <w:tcPr>
            <w:tcW w:type="dxa" w:w="4703"/>
          </w:tcPr>
          <w:p>
            <w:r>
              <w:t>Unvan / Ad Soyad</w:t>
            </w:r>
          </w:p>
        </w:tc>
        <w:tc>
          <w:tcPr>
            <w:tcW w:type="dxa" w:w="4703"/>
          </w:tcPr>
          <w:p>
            <w:r>
              <w:t>_________________________________________________</w:t>
            </w:r>
          </w:p>
        </w:tc>
      </w:tr>
      <w:tr>
        <w:tc>
          <w:tcPr>
            <w:tcW w:type="dxa" w:w="4703"/>
          </w:tcPr>
          <w:p>
            <w:r>
              <w:t>Vergi Dairesi / VKN–TCKN</w:t>
            </w:r>
          </w:p>
        </w:tc>
        <w:tc>
          <w:tcPr>
            <w:tcW w:type="dxa" w:w="4703"/>
          </w:tcPr>
          <w:p>
            <w:r>
              <w:t>_________________________________________________</w:t>
            </w:r>
          </w:p>
        </w:tc>
      </w:tr>
      <w:tr>
        <w:tc>
          <w:tcPr>
            <w:tcW w:type="dxa" w:w="4703"/>
          </w:tcPr>
          <w:p>
            <w:r>
              <w:t>Adres</w:t>
            </w:r>
          </w:p>
        </w:tc>
        <w:tc>
          <w:tcPr>
            <w:tcW w:type="dxa" w:w="4703"/>
          </w:tcPr>
          <w:p>
            <w:r>
              <w:t>_________________________________________________</w:t>
            </w:r>
          </w:p>
        </w:tc>
      </w:tr>
      <w:tr>
        <w:tc>
          <w:tcPr>
            <w:tcW w:type="dxa" w:w="4703"/>
          </w:tcPr>
          <w:p>
            <w:r>
              <w:t>Telefon / E-posta</w:t>
            </w:r>
          </w:p>
        </w:tc>
        <w:tc>
          <w:tcPr>
            <w:tcW w:type="dxa" w:w="4703"/>
          </w:tcPr>
          <w:p>
            <w:r>
              <w:t>_________________________________________________</w:t>
            </w:r>
          </w:p>
        </w:tc>
      </w:tr>
      <w:tr>
        <w:tc>
          <w:tcPr>
            <w:tcW w:type="dxa" w:w="4703"/>
          </w:tcPr>
          <w:p>
            <w:r>
              <w:t>SGK İşyeri / Aracı Dosya No (şantiye)</w:t>
            </w:r>
          </w:p>
        </w:tc>
        <w:tc>
          <w:tcPr>
            <w:tcW w:type="dxa" w:w="4703"/>
          </w:tcPr>
          <w:p>
            <w:r>
              <w:t>_________________________________________________</w:t>
            </w:r>
          </w:p>
        </w:tc>
      </w:tr>
      <w:tr>
        <w:tc>
          <w:tcPr>
            <w:tcW w:type="dxa" w:w="4703"/>
          </w:tcPr>
          <w:p>
            <w:r>
              <w:t>Yetkili imza</w:t>
            </w:r>
          </w:p>
        </w:tc>
        <w:tc>
          <w:tcPr>
            <w:tcW w:type="dxa" w:w="4703"/>
          </w:tcPr>
          <w:p>
            <w:r>
              <w:t>_________________________________________________</w:t>
            </w:r>
          </w:p>
        </w:tc>
      </w:tr>
    </w:tbl>
    <w:p/>
    <w:p>
      <w:r>
        <w:rPr>
          <w:rFonts w:ascii="Calibri" w:hAnsi="Calibri"/>
          <w:b w:val="0"/>
          <w:i w:val="0"/>
          <w:sz w:val="22"/>
        </w:rPr>
        <w:t xml:space="preserve">2) ALT YÜKLENİCİ (2. derece taşeron — işi fiilen ifa eden taraf)  </w:t>
      </w:r>
    </w:p>
    <w:p>
      <w:r>
        <w:rPr>
          <w:rFonts w:ascii="Calibri" w:hAnsi="Calibri"/>
          <w:b w:val="0"/>
          <w:i w:val="0"/>
          <w:sz w:val="22"/>
        </w:rPr>
        <w:t xml:space="preserve">*(Bundan sonra “ALT YÜKLENİCİ”)*  </w:t>
      </w:r>
    </w:p>
    <w:tbl>
      <w:tblPr>
        <w:tblStyle w:val="TableGrid"/>
        <w:tblW w:type="auto" w:w="0"/>
        <w:tblLook w:firstColumn="1" w:firstRow="1" w:lastColumn="0" w:lastRow="0" w:noHBand="0" w:noVBand="1" w:val="04A0"/>
      </w:tblPr>
      <w:tblGrid>
        <w:gridCol w:w="4703"/>
        <w:gridCol w:w="4703"/>
      </w:tblGrid>
      <w:tr>
        <w:tc>
          <w:tcPr>
            <w:tcW w:type="dxa" w:w="4703"/>
          </w:tcPr>
          <w:p>
            <w:r>
              <w:t>Unvan / Ad Soyad</w:t>
            </w:r>
          </w:p>
        </w:tc>
        <w:tc>
          <w:tcPr>
            <w:tcW w:type="dxa" w:w="4703"/>
          </w:tcPr>
          <w:p>
            <w:r>
              <w:t>_________________________________________________</w:t>
            </w:r>
          </w:p>
        </w:tc>
      </w:tr>
      <w:tr>
        <w:tc>
          <w:tcPr>
            <w:tcW w:type="dxa" w:w="4703"/>
          </w:tcPr>
          <w:p>
            <w:r>
              <w:t>Vergi Dairesi / VKN–TCKN</w:t>
            </w:r>
          </w:p>
        </w:tc>
        <w:tc>
          <w:tcPr>
            <w:tcW w:type="dxa" w:w="4703"/>
          </w:tcPr>
          <w:p>
            <w:r>
              <w:t>_________________________________________________</w:t>
            </w:r>
          </w:p>
        </w:tc>
      </w:tr>
      <w:tr>
        <w:tc>
          <w:tcPr>
            <w:tcW w:type="dxa" w:w="4703"/>
          </w:tcPr>
          <w:p>
            <w:r>
              <w:t>Adres</w:t>
            </w:r>
          </w:p>
        </w:tc>
        <w:tc>
          <w:tcPr>
            <w:tcW w:type="dxa" w:w="4703"/>
          </w:tcPr>
          <w:p>
            <w:r>
              <w:t>_________________________________________________</w:t>
            </w:r>
          </w:p>
        </w:tc>
      </w:tr>
      <w:tr>
        <w:tc>
          <w:tcPr>
            <w:tcW w:type="dxa" w:w="4703"/>
          </w:tcPr>
          <w:p>
            <w:r>
              <w:t>Telefon / E-posta</w:t>
            </w:r>
          </w:p>
        </w:tc>
        <w:tc>
          <w:tcPr>
            <w:tcW w:type="dxa" w:w="4703"/>
          </w:tcPr>
          <w:p>
            <w:r>
              <w:t>_________________________________________________</w:t>
            </w:r>
          </w:p>
        </w:tc>
      </w:tr>
      <w:tr>
        <w:tc>
          <w:tcPr>
            <w:tcW w:type="dxa" w:w="4703"/>
          </w:tcPr>
          <w:p>
            <w:r>
              <w:t>SGK İşyeri / Aracı Dosya No (şantiye)</w:t>
            </w:r>
          </w:p>
        </w:tc>
        <w:tc>
          <w:tcPr>
            <w:tcW w:type="dxa" w:w="4703"/>
          </w:tcPr>
          <w:p>
            <w:r>
              <w:t>_________________________________________________</w:t>
            </w:r>
          </w:p>
        </w:tc>
      </w:tr>
      <w:tr>
        <w:tc>
          <w:tcPr>
            <w:tcW w:type="dxa" w:w="4703"/>
          </w:tcPr>
          <w:p>
            <w:r>
              <w:t>IBAN</w:t>
            </w:r>
          </w:p>
        </w:tc>
        <w:tc>
          <w:tcPr>
            <w:tcW w:type="dxa" w:w="4703"/>
          </w:tcPr>
          <w:p>
            <w:r>
              <w:t>_________________________________________________</w:t>
            </w:r>
          </w:p>
        </w:tc>
      </w:tr>
      <w:tr>
        <w:tc>
          <w:tcPr>
            <w:tcW w:type="dxa" w:w="4703"/>
          </w:tcPr>
          <w:p>
            <w:r>
              <w:t>Yetkili imza</w:t>
            </w:r>
          </w:p>
        </w:tc>
        <w:tc>
          <w:tcPr>
            <w:tcW w:type="dxa" w:w="4703"/>
          </w:tcPr>
          <w:p>
            <w:r>
              <w:t>_________________________________________________</w:t>
            </w:r>
          </w:p>
        </w:tc>
      </w:tr>
    </w:tbl>
    <w:p/>
    <w:p>
      <w:r>
        <w:rPr>
          <w:rFonts w:ascii="Calibri" w:hAnsi="Calibri"/>
          <w:b w:val="0"/>
          <w:i w:val="0"/>
          <w:sz w:val="22"/>
        </w:rPr>
        <w:t xml:space="preserve">3) BİLGİ AMAÇLI — ANA YÜKLENİCİ / İDARE *(Sözleşme tarafı değildir; bilgi için)*  </w:t>
      </w:r>
    </w:p>
    <w:tbl>
      <w:tblPr>
        <w:tblStyle w:val="TableGrid"/>
        <w:tblW w:type="auto" w:w="0"/>
        <w:tblLook w:firstColumn="1" w:firstRow="1" w:lastColumn="0" w:lastRow="0" w:noHBand="0" w:noVBand="1" w:val="04A0"/>
      </w:tblPr>
      <w:tblGrid>
        <w:gridCol w:w="4703"/>
        <w:gridCol w:w="4703"/>
      </w:tblGrid>
      <w:tr>
        <w:tc>
          <w:tcPr>
            <w:tcW w:type="dxa" w:w="4703"/>
          </w:tcPr>
          <w:p>
            <w:r>
              <w:t>Ana yüklenici / müteahhit</w:t>
            </w:r>
          </w:p>
        </w:tc>
        <w:tc>
          <w:tcPr>
            <w:tcW w:type="dxa" w:w="4703"/>
          </w:tcPr>
          <w:p>
            <w:r>
              <w:t>_________________________________________________</w:t>
            </w:r>
          </w:p>
        </w:tc>
      </w:tr>
      <w:tr>
        <w:tc>
          <w:tcPr>
            <w:tcW w:type="dxa" w:w="4703"/>
          </w:tcPr>
          <w:p>
            <w:r>
              <w:t>İş sahibi / idare</w:t>
            </w:r>
          </w:p>
        </w:tc>
        <w:tc>
          <w:tcPr>
            <w:tcW w:type="dxa" w:w="4703"/>
          </w:tcPr>
          <w:p>
            <w:r>
              <w:t>Kocaeli Büyükşehir Belediyesi — Gündoğdu Kültür Merkezi</w:t>
            </w:r>
          </w:p>
        </w:tc>
      </w:tr>
      <w:tr>
        <w:tc>
          <w:tcPr>
            <w:tcW w:type="dxa" w:w="4703"/>
          </w:tcPr>
          <w:p>
            <w:r>
              <w:t>Şantiye adresi</w:t>
            </w:r>
          </w:p>
        </w:tc>
        <w:tc>
          <w:tcPr>
            <w:tcW w:type="dxa" w:w="4703"/>
          </w:tcPr>
          <w:p>
            <w:r>
              <w:t>_________________________________________________</w:t>
            </w:r>
          </w:p>
        </w:tc>
      </w:tr>
    </w:tbl>
    <w:p/>
    <w:p>
      <w:r>
        <w:rPr>
          <w:rFonts w:ascii="Calibri" w:hAnsi="Calibri"/>
          <w:b w:val="0"/>
          <w:i w:val="0"/>
          <w:sz w:val="22"/>
        </w:rPr>
        <w:t>ALT YÜKLENİCİ, İŞVEREN ile ana yüklenici arasındaki sözleşmenin kendisini bağlayan hükümlerini (metraj, ödeme, İSG, kalite) talep etme hakkını saklı tutar (Madde 14).</w:t>
      </w:r>
    </w:p>
    <w:p>
      <w:r>
        <w:rPr>
          <w:rFonts w:ascii="Calibri" w:hAnsi="Calibri"/>
          <w:b w:val="0"/>
          <w:i w:val="0"/>
          <w:sz w:val="22"/>
        </w:rPr>
        <w:t>Taraflar aşağıdaki şartlarda anlaşmışlardır.</w:t>
      </w:r>
    </w:p>
    <w:p/>
    <w:p>
      <w:pPr>
        <w:pStyle w:val="Heading2"/>
      </w:pPr>
      <w:r>
        <w:t>MADDE 1 — KONU</w:t>
      </w:r>
    </w:p>
    <w:p>
      <w:r>
        <w:rPr>
          <w:rFonts w:ascii="Calibri" w:hAnsi="Calibri"/>
          <w:b w:val="0"/>
          <w:i w:val="0"/>
          <w:sz w:val="22"/>
        </w:rPr>
        <w:t>1.1. İşbu sözleşmenin konusu; Kocaeli Büyükşehir Belediyesi Gündoğdu Kültür Merkezi projesinde, onaylı statik uygulama paftalarına uygun olarak ALT YÜKLENİCİ’nin demir (donatı) işçiliği ile kalıp imalat, montaj ve söküm işlerinin İŞVEREN adına alt yüklenici sıfatıyla ifasıdır.</w:t>
      </w:r>
    </w:p>
    <w:p>
      <w:r>
        <w:rPr>
          <w:rFonts w:ascii="Calibri" w:hAnsi="Calibri"/>
          <w:b w:val="0"/>
          <w:i w:val="0"/>
          <w:sz w:val="22"/>
        </w:rPr>
        <w:t>1.2. Proje paftaları (eklerde listelenen; revizyonlar ek protokolle):</w:t>
      </w:r>
    </w:p>
    <w:p>
      <w:pPr>
        <w:pStyle w:val="ListBullet"/>
      </w:pPr>
      <w:r>
        <w:t>Düğün salonu betonarme statik uygulama projesi (12 pafta; temel, ±0,00 ve +6,00 kot kalıp/donatı planları, kiriş detayları, merdiven vb.)</w:t>
      </w:r>
    </w:p>
    <w:p>
      <w:pPr>
        <w:pStyle w:val="ListBullet"/>
      </w:pPr>
      <w:r>
        <w:t>İstinat duvarları detay paftaları (38 tip istinat donatı/kesit detayları)</w:t>
      </w:r>
    </w:p>
    <w:p>
      <w:r>
        <w:rPr>
          <w:rFonts w:ascii="Calibri" w:hAnsi="Calibri"/>
          <w:b w:val="0"/>
          <w:i w:val="0"/>
          <w:sz w:val="22"/>
        </w:rPr>
        <w:t>1.3. İş yapım işi niteliğindedir; faturalarda KDV ve yapım işlerine ilişkin tevkifat uygulanır (Madde 8).</w:t>
      </w:r>
    </w:p>
    <w:p/>
    <w:p>
      <w:pPr>
        <w:pStyle w:val="Heading2"/>
      </w:pPr>
      <w:r>
        <w:t>MADDE 2 — KAPSAM (DAHİL / HARİÇ)</w:t>
      </w:r>
    </w:p>
    <w:p>
      <w:r>
        <w:rPr>
          <w:rFonts w:ascii="Calibri" w:hAnsi="Calibri"/>
          <w:b w:val="0"/>
          <w:i w:val="0"/>
          <w:sz w:val="22"/>
        </w:rPr>
        <w:t>2.1. ALT YÜKLENİCİ’nin yükümlülüğü (dahil):</w:t>
      </w:r>
    </w:p>
    <w:tbl>
      <w:tblPr>
        <w:tblStyle w:val="TableGrid"/>
        <w:tblW w:type="auto" w:w="0"/>
        <w:tblLook w:firstColumn="1" w:firstRow="1" w:lastColumn="0" w:lastRow="0" w:noHBand="0" w:noVBand="1" w:val="04A0"/>
      </w:tblPr>
      <w:tblGrid>
        <w:gridCol w:w="4703"/>
        <w:gridCol w:w="4703"/>
      </w:tblGrid>
      <w:tr>
        <w:tc>
          <w:tcPr>
            <w:tcW w:type="dxa" w:w="4703"/>
          </w:tcPr>
          <w:p>
            <w:r>
              <w:t>Kalem</w:t>
            </w:r>
          </w:p>
        </w:tc>
        <w:tc>
          <w:tcPr>
            <w:tcW w:type="dxa" w:w="4703"/>
          </w:tcPr>
          <w:p>
            <w:r>
              <w:t>Açıklama</w:t>
            </w:r>
          </w:p>
        </w:tc>
      </w:tr>
      <w:tr>
        <w:tc>
          <w:tcPr>
            <w:tcW w:type="dxa" w:w="4703"/>
          </w:tcPr>
          <w:p>
            <w:r>
              <w:t>Demir (donatı) işçiliği</w:t>
            </w:r>
          </w:p>
        </w:tc>
        <w:tc>
          <w:tcPr>
            <w:tcW w:type="dxa" w:w="4703"/>
          </w:tcPr>
          <w:p>
            <w:r>
              <w:t>Kesim, büküm, yerleştirme, bağlama, mesnet/sehpa uygulaması (projede öngörülen şekilde)</w:t>
            </w:r>
          </w:p>
        </w:tc>
      </w:tr>
      <w:tr>
        <w:tc>
          <w:tcPr>
            <w:tcW w:type="dxa" w:w="4703"/>
          </w:tcPr>
          <w:p>
            <w:r>
              <w:t>Kalıp işçiliği</w:t>
            </w:r>
          </w:p>
        </w:tc>
        <w:tc>
          <w:tcPr>
            <w:tcW w:type="dxa" w:w="4703"/>
          </w:tcPr>
          <w:p>
            <w:r>
              <w:t>Ahşap/panel kalıp imalatı, montaj, yağlama, söküm, temizlik</w:t>
            </w:r>
          </w:p>
        </w:tc>
      </w:tr>
      <w:tr>
        <w:tc>
          <w:tcPr>
            <w:tcW w:type="dxa" w:w="4703"/>
          </w:tcPr>
          <w:p>
            <w:r>
              <w:t>Kalıp malzemesi</w:t>
            </w:r>
          </w:p>
        </w:tc>
        <w:tc>
          <w:tcPr>
            <w:tcW w:type="dxa" w:w="4703"/>
          </w:tcPr>
          <w:p>
            <w:r>
              <w:t>Kontrplak/OSB, kereste, tel, yağ, çivi, distan vb. birim fiyata dahildir</w:t>
            </w:r>
          </w:p>
        </w:tc>
      </w:tr>
      <w:tr>
        <w:tc>
          <w:tcPr>
            <w:tcW w:type="dxa" w:w="4703"/>
          </w:tcPr>
          <w:p>
            <w:r>
              <w:t>Saha İSG (kendi personeli)</w:t>
            </w:r>
          </w:p>
        </w:tc>
        <w:tc>
          <w:tcPr>
            <w:tcW w:type="dxa" w:w="4703"/>
          </w:tcPr>
          <w:p>
            <w:r>
              <w:t>Risk değerlendirmesi, KKD, eğitim, kendi ekip disiplini</w:t>
            </w:r>
          </w:p>
        </w:tc>
      </w:tr>
      <w:tr>
        <w:tc>
          <w:tcPr>
            <w:tcW w:type="dxa" w:w="4703"/>
          </w:tcPr>
          <w:p>
            <w:r>
              <w:t>Metraj / hakediş</w:t>
            </w:r>
          </w:p>
        </w:tc>
        <w:tc>
          <w:tcPr>
            <w:tcW w:type="dxa" w:w="4703"/>
          </w:tcPr>
          <w:p>
            <w:r>
              <w:t>Çift imzalı tutanak, fotoğraf, dönemsel hakediş dosyası</w:t>
            </w:r>
          </w:p>
        </w:tc>
      </w:tr>
    </w:tbl>
    <w:p/>
    <w:p>
      <w:r>
        <w:rPr>
          <w:rFonts w:ascii="Calibri" w:hAnsi="Calibri"/>
          <w:b w:val="0"/>
          <w:i w:val="0"/>
          <w:sz w:val="22"/>
        </w:rPr>
        <w:t>2.2. İŞVEREN’in sağlama yükümlülüğü (hariç — ALT YÜKLENİCİ faturasına dahil değildir):</w:t>
      </w:r>
    </w:p>
    <w:tbl>
      <w:tblPr>
        <w:tblStyle w:val="TableGrid"/>
        <w:tblW w:type="auto" w:w="0"/>
        <w:tblLook w:firstColumn="1" w:firstRow="1" w:lastColumn="0" w:lastRow="0" w:noHBand="0" w:noVBand="1" w:val="04A0"/>
      </w:tblPr>
      <w:tblGrid>
        <w:gridCol w:w="4703"/>
        <w:gridCol w:w="4703"/>
      </w:tblGrid>
      <w:tr>
        <w:tc>
          <w:tcPr>
            <w:tcW w:type="dxa" w:w="4703"/>
          </w:tcPr>
          <w:p>
            <w:r>
              <w:t>Kalem</w:t>
            </w:r>
          </w:p>
        </w:tc>
        <w:tc>
          <w:tcPr>
            <w:tcW w:type="dxa" w:w="4703"/>
          </w:tcPr>
          <w:p>
            <w:r>
              <w:t>Açıklama</w:t>
            </w:r>
          </w:p>
        </w:tc>
      </w:tr>
      <w:tr>
        <w:tc>
          <w:tcPr>
            <w:tcW w:type="dxa" w:w="4703"/>
          </w:tcPr>
          <w:p>
            <w:r>
              <w:t>Demir (donatı) malzemesi</w:t>
            </w:r>
          </w:p>
        </w:tc>
        <w:tc>
          <w:tcPr>
            <w:tcW w:type="dxa" w:w="4703"/>
          </w:tcPr>
          <w:p>
            <w:r>
              <w:t>Nervürlü çelik, hasır, bağ teli, distan/plastik paspay elemanları (projede işverene ait olanlar)</w:t>
            </w:r>
          </w:p>
        </w:tc>
      </w:tr>
      <w:tr>
        <w:tc>
          <w:tcPr>
            <w:tcW w:type="dxa" w:w="4703"/>
          </w:tcPr>
          <w:p>
            <w:r>
              <w:t>İskele / çalışma platformu</w:t>
            </w:r>
          </w:p>
        </w:tc>
        <w:tc>
          <w:tcPr>
            <w:tcW w:type="dxa" w:w="4703"/>
          </w:tcPr>
          <w:p>
            <w:r>
              <w:t>Sistem iskele, perde iskelesi, korkuluk (projede “kalıp projesi / iskele” şartı)</w:t>
            </w:r>
          </w:p>
        </w:tc>
      </w:tr>
      <w:tr>
        <w:tc>
          <w:tcPr>
            <w:tcW w:type="dxa" w:w="4703"/>
          </w:tcPr>
          <w:p>
            <w:r>
              <w:t>Beton, pompa, vibratör</w:t>
            </w:r>
          </w:p>
        </w:tc>
        <w:tc>
          <w:tcPr>
            <w:tcW w:type="dxa" w:w="4703"/>
          </w:tcPr>
          <w:p>
            <w:r>
              <w:t>—</w:t>
            </w:r>
          </w:p>
        </w:tc>
      </w:tr>
      <w:tr>
        <w:tc>
          <w:tcPr>
            <w:tcW w:type="dxa" w:w="4703"/>
          </w:tcPr>
          <w:p>
            <w:r>
              <w:t>Vinç, manlift, nakliye</w:t>
            </w:r>
          </w:p>
        </w:tc>
        <w:tc>
          <w:tcPr>
            <w:tcW w:type="dxa" w:w="4703"/>
          </w:tcPr>
          <w:p>
            <w:r>
              <w:t>Şantiye içi vinç planı İŞVEREN / ana yüklenici</w:t>
            </w:r>
          </w:p>
        </w:tc>
      </w:tr>
      <w:tr>
        <w:tc>
          <w:tcPr>
            <w:tcW w:type="dxa" w:w="4703"/>
          </w:tcPr>
          <w:p>
            <w:r>
              <w:t>Elektrik / su (şantiye altyapısı)</w:t>
            </w:r>
          </w:p>
        </w:tc>
        <w:tc>
          <w:tcPr>
            <w:tcW w:type="dxa" w:w="4703"/>
          </w:tcPr>
          <w:p>
            <w:r>
              <w:t>—</w:t>
            </w:r>
          </w:p>
        </w:tc>
      </w:tr>
      <w:tr>
        <w:tc>
          <w:tcPr>
            <w:tcW w:type="dxa" w:w="4703"/>
          </w:tcPr>
          <w:p>
            <w:r>
              <w:t>Resmi kalıp projesi onayı</w:t>
            </w:r>
          </w:p>
        </w:tc>
        <w:tc>
          <w:tcPr>
            <w:tcW w:type="dxa" w:w="4703"/>
          </w:tcPr>
          <w:p>
            <w:r>
              <w:t>İŞVEREN / ana yüklenici sorumluluğunda</w:t>
            </w:r>
          </w:p>
        </w:tc>
      </w:tr>
    </w:tbl>
    <w:p/>
    <w:p>
      <w:r>
        <w:rPr>
          <w:rFonts w:ascii="Calibri" w:hAnsi="Calibri"/>
          <w:b w:val="0"/>
          <w:i w:val="0"/>
          <w:sz w:val="22"/>
        </w:rPr>
        <w:t>2.3. İŞVEREN, yukarıdaki hariç kalemlerin zamanında sağlanmamasından doğan iş programı kaybı, bekletme, yevmiye ve makine duruşu bedellerini ayrı tutanakla ALT YÜKLENİCİ’ye öder (Madde 6.5).</w:t>
      </w:r>
    </w:p>
    <w:p>
      <w:r>
        <w:rPr>
          <w:rFonts w:ascii="Calibri" w:hAnsi="Calibri"/>
          <w:b w:val="0"/>
          <w:i w:val="0"/>
          <w:sz w:val="22"/>
        </w:rPr>
        <w:t>2.4. Kapsam dışı imalat veya projede olmayan ek iş ancak yazılı iş emri veya ek protokol ile yapılır; aksi halde ALT YÜKLENİCİ’nin yapım yükümlülüğü doğmaz.</w:t>
      </w:r>
    </w:p>
    <w:p/>
    <w:p>
      <w:pPr>
        <w:pStyle w:val="Heading2"/>
      </w:pPr>
      <w:r>
        <w:t>MADDE 3 — ÖLÇÜ YÖNTEMİ, METRAJ VE BİRİM FİYAT</w:t>
      </w:r>
    </w:p>
    <w:p>
      <w:r>
        <w:rPr>
          <w:rFonts w:ascii="Calibri" w:hAnsi="Calibri"/>
          <w:b w:val="0"/>
          <w:i w:val="0"/>
          <w:sz w:val="22"/>
        </w:rPr>
        <w:t>3.1. Ölçü yöntemi: Taraflar düz ölçü esasını kabul eder. Düz ölçü; kalıp net yüzeylerinin ve götürü birim fiyatlandırmada demir işçiliği için aynı metraj cetvelinin toplanmasıdır:</w:t>
      </w:r>
    </w:p>
    <w:p>
      <w:pPr>
        <w:pStyle w:val="ListBullet"/>
      </w:pPr>
      <w:r>
        <w:t>Döşeme alt kalıbı: net plan izdüşüm alanı (kat adedi ayrı satır)</w:t>
      </w:r>
    </w:p>
    <w:p>
      <w:pPr>
        <w:pStyle w:val="ListBullet"/>
      </w:pPr>
      <w:r>
        <w:t>Kolon kalıbı: çevre × net yükseklik (döşeme kalınlığı düşülmüş)</w:t>
      </w:r>
    </w:p>
    <w:p>
      <w:pPr>
        <w:pStyle w:val="ListBullet"/>
      </w:pPr>
      <w:r>
        <w:t>Kiriş kalıbı: net eksen boyu × (2 × yan + alt)</w:t>
      </w:r>
    </w:p>
    <w:p>
      <w:pPr>
        <w:pStyle w:val="ListBullet"/>
      </w:pPr>
      <w:r>
        <w:t>Temel yan kalıbı: net çevre × yükseklik</w:t>
      </w:r>
    </w:p>
    <w:p>
      <w:pPr>
        <w:pStyle w:val="ListBullet"/>
      </w:pPr>
      <w:r>
        <w:t>İstinat perdesi: tek yüz net alan (L × H); tip arası derz alanı metrajdan düşülür</w:t>
      </w:r>
    </w:p>
    <w:p>
      <w:r>
        <w:rPr>
          <w:rFonts w:ascii="Calibri" w:hAnsi="Calibri"/>
          <w:b w:val="0"/>
          <w:i w:val="0"/>
          <w:sz w:val="22"/>
        </w:rPr>
        <w:t>3.2. Referans metraj (teklif aşaması — kesin değildir):</w:t>
      </w:r>
    </w:p>
    <w:tbl>
      <w:tblPr>
        <w:tblStyle w:val="TableGrid"/>
        <w:tblW w:type="auto" w:w="0"/>
        <w:tblLook w:firstColumn="1" w:firstRow="1" w:lastColumn="0" w:lastRow="0" w:noHBand="0" w:noVBand="1" w:val="04A0"/>
      </w:tblPr>
      <w:tblGrid>
        <w:gridCol w:w="4703"/>
        <w:gridCol w:w="4703"/>
      </w:tblGrid>
      <w:tr>
        <w:tc>
          <w:tcPr>
            <w:tcW w:type="dxa" w:w="4703"/>
          </w:tcPr>
          <w:p>
            <w:r>
              <w:t>Bölüm</w:t>
            </w:r>
          </w:p>
        </w:tc>
        <w:tc>
          <w:tcPr>
            <w:tcW w:type="dxa" w:w="4703"/>
          </w:tcPr>
          <w:p>
            <w:r>
              <w:t>Tahmini düz ölçü m²</w:t>
            </w:r>
          </w:p>
        </w:tc>
      </w:tr>
      <w:tr>
        <w:tc>
          <w:tcPr>
            <w:tcW w:type="dxa" w:w="4703"/>
          </w:tcPr>
          <w:p>
            <w:r>
              <w:t>Düğün salonu (betonarme)</w:t>
            </w:r>
          </w:p>
        </w:tc>
        <w:tc>
          <w:tcPr>
            <w:tcW w:type="dxa" w:w="4703"/>
          </w:tcPr>
          <w:p>
            <w:r>
              <w:t>7.482</w:t>
            </w:r>
          </w:p>
        </w:tc>
      </w:tr>
      <w:tr>
        <w:tc>
          <w:tcPr>
            <w:tcW w:type="dxa" w:w="4703"/>
          </w:tcPr>
          <w:p>
            <w:r>
              <w:t>İstinat duvarları (orta senaryo)</w:t>
            </w:r>
          </w:p>
        </w:tc>
        <w:tc>
          <w:tcPr>
            <w:tcW w:type="dxa" w:w="4703"/>
          </w:tcPr>
          <w:p>
            <w:r>
              <w:t>2.009</w:t>
            </w:r>
          </w:p>
        </w:tc>
      </w:tr>
      <w:tr>
        <w:tc>
          <w:tcPr>
            <w:tcW w:type="dxa" w:w="4703"/>
          </w:tcPr>
          <w:p>
            <w:r>
              <w:t>Toplam referans</w:t>
            </w:r>
          </w:p>
        </w:tc>
        <w:tc>
          <w:tcPr>
            <w:tcW w:type="dxa" w:w="4703"/>
          </w:tcPr>
          <w:p>
            <w:r>
              <w:t>9.491</w:t>
            </w:r>
          </w:p>
        </w:tc>
      </w:tr>
    </w:tbl>
    <w:p/>
    <w:p>
      <w:r>
        <w:rPr>
          <w:rFonts w:ascii="Calibri" w:hAnsi="Calibri"/>
          <w:b w:val="0"/>
          <w:i w:val="0"/>
          <w:sz w:val="22"/>
        </w:rPr>
        <w:t>Kesin metraj; saha ölçümü, onaylı paftalar ve Ek-1 Metraj Cetveli üzerinden çift imzalı hakediş tutanağı ile belirlenir. İstinat duvar boyları mimari/vaziyet planı ile teyit edilmedikçe ilgili kalem provisional (geçici) metraj sayılır.</w:t>
      </w:r>
    </w:p>
    <w:p>
      <w:r>
        <w:rPr>
          <w:rFonts w:ascii="Calibri" w:hAnsi="Calibri"/>
          <w:b w:val="0"/>
          <w:i w:val="0"/>
          <w:sz w:val="22"/>
        </w:rPr>
        <w:t xml:space="preserve">3.3. Birim fiyat: 1.950,00 TL / m² (KDV hariç).  </w:t>
      </w:r>
    </w:p>
    <w:p>
      <w:r>
        <w:rPr>
          <w:rFonts w:ascii="Calibri" w:hAnsi="Calibri"/>
          <w:b w:val="0"/>
          <w:i w:val="0"/>
          <w:sz w:val="22"/>
        </w:rPr>
        <w:t>Götürü nitelikte tek birim fiyat olup demir işçiliği + kalıp işçiliği + kalıp malzemesi bu fiyata dahildir; demir malzemesi dahil değildir (Madde 2.2).</w:t>
      </w:r>
    </w:p>
    <w:p>
      <w:r>
        <w:rPr>
          <w:rFonts w:ascii="Calibri" w:hAnsi="Calibri"/>
          <w:b w:val="0"/>
          <w:i w:val="0"/>
          <w:sz w:val="22"/>
        </w:rPr>
        <w:t xml:space="preserve">3.4. Sözleşme bedeli (referans): 9.491 m² × 1.950 TL ≈ 18.507.450 TL (KDV hariç).  </w:t>
      </w:r>
    </w:p>
    <w:p>
      <w:r>
        <w:rPr>
          <w:rFonts w:ascii="Calibri" w:hAnsi="Calibri"/>
          <w:b w:val="0"/>
          <w:i w:val="0"/>
          <w:sz w:val="22"/>
        </w:rPr>
        <w:t>Kesin bedel, Madde 3.2’ye göre kesinleşen metraj × birim fiyattır.</w:t>
      </w:r>
    </w:p>
    <w:p>
      <w:r>
        <w:rPr>
          <w:rFonts w:ascii="Calibri" w:hAnsi="Calibri"/>
          <w:b w:val="0"/>
          <w:i w:val="0"/>
          <w:sz w:val="22"/>
        </w:rPr>
        <w:t>3.5. Birim fiyat sabitliği: Birim fiyat, sözleşme süresince sabittir; ancak:</w:t>
      </w:r>
    </w:p>
    <w:p>
      <w:pPr>
        <w:pStyle w:val="ListBullet"/>
      </w:pPr>
      <w:r>
        <w:t>(a) İŞVEREN kaynaklı proje revizyonu %_____ üzeri metraj artışı,</w:t>
      </w:r>
    </w:p>
    <w:p>
      <w:pPr>
        <w:pStyle w:val="ListBullet"/>
      </w:pPr>
      <w:r>
        <w:t>(b) Resmi asgari ücret / SGK prim oranında kanuni zorunlu artış,</w:t>
      </w:r>
    </w:p>
    <w:p>
      <w:pPr>
        <w:pStyle w:val="ListBullet"/>
      </w:pPr>
      <w:r>
        <w:t>(c) Enflasyon / kur (döviz bağlantılı malzeme varsa)</w:t>
      </w:r>
    </w:p>
    <w:p>
      <w:r>
        <w:rPr>
          <w:rFonts w:ascii="Calibri" w:hAnsi="Calibri"/>
          <w:b w:val="0"/>
          <w:i w:val="0"/>
          <w:sz w:val="22"/>
        </w:rPr>
        <w:t>hallerinde taraflar 15 gün içinde yazılı görüşme yapar; anlaşmazlıkta Madde 15 uygulanır.</w:t>
      </w:r>
    </w:p>
    <w:p>
      <w:r>
        <w:rPr>
          <w:rFonts w:ascii="Calibri" w:hAnsi="Calibri"/>
          <w:b w:val="0"/>
          <w:i w:val="0"/>
          <w:sz w:val="22"/>
        </w:rPr>
        <w:t>3.6. Fire / hurda: Kalıp malzemesi fire oranı birim fiyata dahil kabul edilir; ayrıca fire ödenmez. Olağan dışı fire (İŞVEREN kaynaklı gecikme, depo koşulları, vandalizm) tutanakla tespit edilir ve Madde 6.5 kapsamında değerlendirilir.</w:t>
      </w:r>
    </w:p>
    <w:p/>
    <w:p>
      <w:pPr>
        <w:pStyle w:val="Heading2"/>
      </w:pPr>
      <w:r>
        <w:t>MADDE 4 — SÜRE, İŞ PROGRAMI VE BEKLETME</w:t>
      </w:r>
    </w:p>
    <w:p>
      <w:r>
        <w:rPr>
          <w:rFonts w:ascii="Calibri" w:hAnsi="Calibri"/>
          <w:b w:val="0"/>
          <w:i w:val="0"/>
          <w:sz w:val="22"/>
        </w:rPr>
        <w:t xml:space="preserve">4.1. İşe başlama tarihi: ____ / ____ / 20____  </w:t>
      </w:r>
    </w:p>
    <w:p>
      <w:r>
        <w:rPr>
          <w:rFonts w:ascii="Calibri" w:hAnsi="Calibri"/>
          <w:b w:val="0"/>
          <w:i w:val="0"/>
          <w:sz w:val="22"/>
        </w:rPr>
        <w:t xml:space="preserve">4.2. Taahhüt edilen bitiş tarihi: ____ / ____ / 20____  </w:t>
      </w:r>
    </w:p>
    <w:p>
      <w:r>
        <w:rPr>
          <w:rFonts w:ascii="Calibri" w:hAnsi="Calibri"/>
          <w:b w:val="0"/>
          <w:i w:val="0"/>
          <w:sz w:val="22"/>
        </w:rPr>
        <w:t>4.3. ALT YÜKLENİCİ, İŞVEREN’in yazılı şantiye programına uyar; program değişikliği yazılı bildirilir.</w:t>
      </w:r>
    </w:p>
    <w:p>
      <w:r>
        <w:rPr>
          <w:rFonts w:ascii="Calibri" w:hAnsi="Calibri"/>
          <w:b w:val="0"/>
          <w:i w:val="0"/>
          <w:sz w:val="22"/>
        </w:rPr>
        <w:t>4.4. Bekletme (iş durması): Demir malzemesi, iskele, vinç, önceki imalatın kabulü veya proje onayı İŞVEREN / ana yüklenici kaynaklı 48 saati aşan gecikmede ALT YÜKLENİCİ Bekletme Tutanağı düzenler. Taraflarca imzalanan tutanaklarda:</w:t>
      </w:r>
    </w:p>
    <w:p>
      <w:pPr>
        <w:pStyle w:val="ListBullet"/>
      </w:pPr>
      <w:r>
        <w:t>Bekleme süresi (saat/gün),</w:t>
      </w:r>
    </w:p>
    <w:p>
      <w:pPr>
        <w:pStyle w:val="ListBullet"/>
      </w:pPr>
      <w:r>
        <w:t>Sahada kalan ekip sayısı,</w:t>
      </w:r>
    </w:p>
    <w:p>
      <w:pPr>
        <w:pStyle w:val="ListBullet"/>
      </w:pPr>
      <w:r>
        <w:t>Günlük bekletme bedeli: __________ TL/gün (veya personel × günlük yevmiye tablosu — Ek-4)</w:t>
      </w:r>
    </w:p>
    <w:p>
      <w:r>
        <w:rPr>
          <w:rFonts w:ascii="Calibri" w:hAnsi="Calibri"/>
          <w:b w:val="0"/>
          <w:i w:val="0"/>
          <w:sz w:val="22"/>
        </w:rPr>
        <w:t>kayıt altına alınır. 15 gün içinde ödenmeyen bekletme alacakları, ALT YÜKLENİCİ’nin işi durdurma hakkını doğurur (Madde 12.3).</w:t>
      </w:r>
    </w:p>
    <w:p>
      <w:r>
        <w:rPr>
          <w:rFonts w:ascii="Calibri" w:hAnsi="Calibri"/>
          <w:b w:val="0"/>
          <w:i w:val="0"/>
          <w:sz w:val="22"/>
        </w:rPr>
        <w:t>4.5. Hava muhalebeti ve mücbir sebep Madde 13’te düzenlenmiştir.</w:t>
      </w:r>
    </w:p>
    <w:p/>
    <w:p>
      <w:pPr>
        <w:pStyle w:val="Heading2"/>
      </w:pPr>
      <w:r>
        <w:t>MADDE 5 — HAKEDİŞ, FATURA VE ÖDEME</w:t>
      </w:r>
    </w:p>
    <w:p>
      <w:r>
        <w:rPr>
          <w:rFonts w:ascii="Calibri" w:hAnsi="Calibri"/>
          <w:b w:val="0"/>
          <w:i w:val="0"/>
          <w:sz w:val="22"/>
        </w:rPr>
        <w:t>5.1. Hakediş dönemi: 15 (on beş) günlük / aylık *(birini işaretleyin)*.</w:t>
      </w:r>
    </w:p>
    <w:p>
      <w:r>
        <w:rPr>
          <w:rFonts w:ascii="Calibri" w:hAnsi="Calibri"/>
          <w:b w:val="0"/>
          <w:i w:val="0"/>
          <w:sz w:val="22"/>
        </w:rPr>
        <w:t xml:space="preserve">5.2. Hakediş usulü:  </w:t>
      </w:r>
    </w:p>
    <w:p>
      <w:r>
        <w:rPr>
          <w:rFonts w:ascii="Calibri" w:hAnsi="Calibri"/>
          <w:b w:val="0"/>
          <w:i w:val="0"/>
          <w:sz w:val="22"/>
        </w:rPr>
        <w:t>Her dönem sonunda ALT YÜKLENİCİ Hakediş Bildirimi sunar; ekleri:</w:t>
      </w:r>
    </w:p>
    <w:p>
      <w:r>
        <w:rPr>
          <w:rFonts w:ascii="Calibri" w:hAnsi="Calibri"/>
          <w:b w:val="0"/>
          <w:i w:val="0"/>
          <w:sz w:val="22"/>
        </w:rPr>
        <w:t xml:space="preserve">1. Metraj cetveli (düz ölçü, poz kırılımlı)  </w:t>
      </w:r>
    </w:p>
    <w:p>
      <w:r>
        <w:rPr>
          <w:rFonts w:ascii="Calibri" w:hAnsi="Calibri"/>
          <w:b w:val="0"/>
          <w:i w:val="0"/>
          <w:sz w:val="22"/>
        </w:rPr>
        <w:t xml:space="preserve">2. Saha fotoğrafları (kalıp/donatı, kritik detaylar)  </w:t>
      </w:r>
    </w:p>
    <w:p>
      <w:r>
        <w:rPr>
          <w:rFonts w:ascii="Calibri" w:hAnsi="Calibri"/>
          <w:b w:val="0"/>
          <w:i w:val="0"/>
          <w:sz w:val="22"/>
        </w:rPr>
        <w:t xml:space="preserve">3. Personel puantaj özeti  </w:t>
      </w:r>
    </w:p>
    <w:p>
      <w:r>
        <w:rPr>
          <w:rFonts w:ascii="Calibri" w:hAnsi="Calibri"/>
          <w:b w:val="0"/>
          <w:i w:val="0"/>
          <w:sz w:val="22"/>
        </w:rPr>
        <w:t xml:space="preserve">4. İSG ihlali / kaza yoktur beyanı  </w:t>
      </w:r>
    </w:p>
    <w:p>
      <w:r>
        <w:rPr>
          <w:rFonts w:ascii="Calibri" w:hAnsi="Calibri"/>
          <w:b w:val="0"/>
          <w:i w:val="0"/>
          <w:sz w:val="22"/>
        </w:rPr>
        <w:t xml:space="preserve">5. Önceki hakedişler özeti  </w:t>
      </w:r>
    </w:p>
    <w:p>
      <w:r>
        <w:rPr>
          <w:rFonts w:ascii="Calibri" w:hAnsi="Calibri"/>
          <w:b w:val="0"/>
          <w:i w:val="0"/>
          <w:sz w:val="22"/>
        </w:rPr>
        <w:t>İŞVEREN, bildirimi aldığı tarihten itibaren 7 iş günü içinde onaylar, kısmi onay gerekçeli reddeder veya yazılı itiraz bildirir. Sessiz kalma: 7 iş günü içinde gerekçeli yazılı itiraz yapılmazsa, bildirilen metraj onaylanmış sayılır *(ALT YÜKLENİCİ lehine)*.</w:t>
      </w:r>
    </w:p>
    <w:p>
      <w:r>
        <w:rPr>
          <w:rFonts w:ascii="Calibri" w:hAnsi="Calibri"/>
          <w:b w:val="0"/>
          <w:i w:val="0"/>
          <w:sz w:val="22"/>
        </w:rPr>
        <w:t>5.3. Fatura: Onaylanan tutar üzerinden ALT YÜKLENİCİ e-Fatura / e-Arşiv keser. Açıklamada: proje adı, dönem, m², birim fiyat, “kalıp malzemesi dahil, demir malzemesi hariç”, NACE kodu, tevkifat.</w:t>
      </w:r>
    </w:p>
    <w:p>
      <w:r>
        <w:rPr>
          <w:rFonts w:ascii="Calibri" w:hAnsi="Calibri"/>
          <w:b w:val="0"/>
          <w:i w:val="0"/>
          <w:sz w:val="22"/>
        </w:rPr>
        <w:t>5.4. Ödeme vadesi: Fatura tarihinden itibaren en geç ____ *(öneri: 15)* takvim günü içinde ALT YÜKLENİCİ IBAN’ına EFT/havale.</w:t>
      </w:r>
    </w:p>
    <w:p>
      <w:r>
        <w:rPr>
          <w:rFonts w:ascii="Calibri" w:hAnsi="Calibri"/>
          <w:b w:val="0"/>
          <w:i w:val="0"/>
          <w:sz w:val="22"/>
        </w:rPr>
        <w:t xml:space="preserve">5.5. “Ödeyince öderim” (pay-when-paid) yasağı:  </w:t>
      </w:r>
    </w:p>
    <w:p>
      <w:r>
        <w:rPr>
          <w:rFonts w:ascii="Calibri" w:hAnsi="Calibri"/>
          <w:b w:val="0"/>
          <w:i w:val="0"/>
          <w:sz w:val="22"/>
        </w:rPr>
        <w:t xml:space="preserve">İŞVEREN, yalnızca ana yükleniciden tahsil ettiği için ödeme yapılmamasını ileri süremez. Ana yüklenici gecikmesi ALT YÜKLENİCİ’ye doğrudan ve bağımsız ödeme borcunu ortadan kaldırmaz.  </w:t>
      </w:r>
    </w:p>
    <w:p>
      <w:r>
        <w:rPr>
          <w:rFonts w:ascii="Calibri" w:hAnsi="Calibri"/>
          <w:b w:val="0"/>
          <w:i w:val="0"/>
          <w:sz w:val="22"/>
        </w:rPr>
        <w:t xml:space="preserve">*(İsteğe bağlı — taraflar özellikle anlaşırsa, aşağıdaki kutucuk işaretlenebilir; aksi halde geçersiz sayılır:)*  </w:t>
      </w:r>
    </w:p>
    <w:p>
      <w:pPr>
        <w:pStyle w:val="ListBullet"/>
      </w:pPr>
      <w:r>
        <w:t>☐ Ana yükleniciden tahsil şartı geçerlidir; ancak fatura vadesinden itibaren **45 gün** geçmesi halinde ALT YÜKLENİCİ ödemeyi talep edebilir; İŞVEREN ana sözleşmedeki tahsilat belgesini ibraz eder.</w:t>
      </w:r>
    </w:p>
    <w:p>
      <w:r>
        <w:rPr>
          <w:rFonts w:ascii="Calibri" w:hAnsi="Calibri"/>
          <w:b w:val="0"/>
          <w:i w:val="0"/>
          <w:sz w:val="22"/>
        </w:rPr>
        <w:t>5.6. Gecikme faizi: Vadesinde ödenmeyen tutarlar için aylık ____ *(öneri: yasal ticari faiz / %____)* gecikme faizi işler; faiz ayrı fatura edilebilir.</w:t>
      </w:r>
    </w:p>
    <w:p>
      <w:r>
        <w:rPr>
          <w:rFonts w:ascii="Calibri" w:hAnsi="Calibri"/>
          <w:b w:val="0"/>
          <w:i w:val="0"/>
          <w:sz w:val="22"/>
        </w:rPr>
        <w:t xml:space="preserve">5.7. Mahsup / kesinti sınırı:  </w:t>
      </w:r>
    </w:p>
    <w:p>
      <w:r>
        <w:rPr>
          <w:rFonts w:ascii="Calibri" w:hAnsi="Calibri"/>
          <w:b w:val="0"/>
          <w:i w:val="0"/>
          <w:sz w:val="22"/>
        </w:rPr>
        <w:t xml:space="preserve">İŞVEREN; yalnızca yazılı ve gerekçeli, ispatlı ayıp, İSG cezası (sözleşmede öngörülen oran) ve SGK borcu teyidi (kanuni haller) için mahsup yapabilir. Tek hakedişte kesinti üst sınırı: %____ *(öneri: 10)*.  </w:t>
      </w:r>
    </w:p>
    <w:p>
      <w:r>
        <w:rPr>
          <w:rFonts w:ascii="Calibri" w:hAnsi="Calibri"/>
          <w:b w:val="0"/>
          <w:i w:val="0"/>
          <w:sz w:val="22"/>
        </w:rPr>
        <w:t>Teminat kesintisi (varsa) toplam hakedişin %____’ini *(öneri: en fazla 5)* aşamaz; kesin kabul / geçici kabul tarihinde iade edilir (Madde 9).</w:t>
      </w:r>
    </w:p>
    <w:p>
      <w:r>
        <w:rPr>
          <w:rFonts w:ascii="Calibri" w:hAnsi="Calibri"/>
          <w:b w:val="0"/>
          <w:i w:val="0"/>
          <w:sz w:val="22"/>
        </w:rPr>
        <w:t>5.8. Üçüncü kişi ödemesi: Ana yüklenicinin, İŞVEREN’in yazılı muvafakatı ve ALT YÜKLENİCİ’nin alacak devir bildirimi ile doğrudan ALT YÜKLENİCİ’ye ödeme yapması mümkündür; bu durumda İŞVEREN’in eş tutar kadar borcu sona erer.</w:t>
      </w:r>
    </w:p>
    <w:p/>
    <w:p>
      <w:pPr>
        <w:pStyle w:val="Heading2"/>
      </w:pPr>
      <w:r>
        <w:t>MADDE 6 — SGK, PERSONEL VE VERGİ</w:t>
      </w:r>
    </w:p>
    <w:p>
      <w:r>
        <w:rPr>
          <w:rFonts w:ascii="Calibri" w:hAnsi="Calibri"/>
          <w:b w:val="0"/>
          <w:i w:val="0"/>
          <w:sz w:val="22"/>
        </w:rPr>
        <w:t>6.1. ALT YÜKLENİCİ, çalıştırdığı tüm personeli kendi işyeri ve/veya şantiye aracı dosyası üzerinden sigortalar; prim ve bildirgeleri zamanında yükümlüdür.</w:t>
      </w:r>
    </w:p>
    <w:p>
      <w:r>
        <w:rPr>
          <w:rFonts w:ascii="Calibri" w:hAnsi="Calibri"/>
          <w:b w:val="0"/>
          <w:i w:val="0"/>
          <w:sz w:val="22"/>
        </w:rPr>
        <w:t>6.2. İŞVEREN, ana yüklenici ile uyumlu olarak şantiye Aracı No / alt işveren kayıtlarının açılmasına iş birliği yapar. Kayıt açılmadan sahaya çıkılması halinde sorumluluk kayıt açılmasını geciktiren tarafa aittir.</w:t>
      </w:r>
    </w:p>
    <w:p>
      <w:r>
        <w:rPr>
          <w:rFonts w:ascii="Calibri" w:hAnsi="Calibri"/>
          <w:b w:val="0"/>
          <w:i w:val="0"/>
          <w:sz w:val="22"/>
        </w:rPr>
        <w:t>6.3. Alt-alt yüklenici yasağı: ALT YÜKLENİCİ, İŞVEREN’in yazılı onayı olmadan işi üçüncü kişiye devredemez. Onaylı devirde ALT YÜKLENİCİ müteselsil sorumluluğu saklı kalmak kaydıyla devreder.</w:t>
      </w:r>
    </w:p>
    <w:p>
      <w:r>
        <w:rPr>
          <w:rFonts w:ascii="Calibri" w:hAnsi="Calibri"/>
          <w:b w:val="0"/>
          <w:i w:val="0"/>
          <w:sz w:val="22"/>
        </w:rPr>
        <w:t>6.4. İŞVEREN, şantiye girişinde sigorta / MYB / İSG belgesi kontrolü yapabilir; sigortasız personeli sahaya almama hakkına sahiptir.</w:t>
      </w:r>
    </w:p>
    <w:p>
      <w:r>
        <w:rPr>
          <w:rFonts w:ascii="Calibri" w:hAnsi="Calibri"/>
          <w:b w:val="0"/>
          <w:i w:val="0"/>
          <w:sz w:val="22"/>
        </w:rPr>
        <w:t>6.5. Bekletme ve idle maliyet: Madde 4.4 ve 2.3 kapsamındaki bedeller ayrı hakediş satırıdır; birim fiyattan düşülmez.</w:t>
      </w:r>
    </w:p>
    <w:p>
      <w:r>
        <w:rPr>
          <w:rFonts w:ascii="Calibri" w:hAnsi="Calibri"/>
          <w:b w:val="0"/>
          <w:i w:val="0"/>
          <w:sz w:val="22"/>
        </w:rPr>
        <w:t>6.6. Vergi, tevkifat, Bağ-Kur ve şahıs/şirket yükümlülükleri ilgili mevzuata göre tarafların kendi sorumluluğundadır.</w:t>
      </w:r>
    </w:p>
    <w:p/>
    <w:p>
      <w:pPr>
        <w:pStyle w:val="Heading2"/>
      </w:pPr>
      <w:r>
        <w:t>MADDE 7 — İŞ SAĞLIĞI VE GÜVENLİĞİ</w:t>
      </w:r>
    </w:p>
    <w:p>
      <w:r>
        <w:rPr>
          <w:rFonts w:ascii="Calibri" w:hAnsi="Calibri"/>
          <w:b w:val="0"/>
          <w:i w:val="0"/>
          <w:sz w:val="22"/>
        </w:rPr>
        <w:t>7.1. İş çok tehlikeli sınıftadır. ALT YÜKLENİCİ kendi personeli için İSG mevzuatına uyar; MYB (kalıpçı / demirci) ve yüksekte çalışma eğitimlerini sağlar.</w:t>
      </w:r>
    </w:p>
    <w:p>
      <w:r>
        <w:rPr>
          <w:rFonts w:ascii="Calibri" w:hAnsi="Calibri"/>
          <w:b w:val="0"/>
          <w:i w:val="0"/>
          <w:sz w:val="22"/>
        </w:rPr>
        <w:t>7.2. İskele / düşme riski: İŞVEREN iskele sağlamadıysa ALT YÜKLENİCİ uygun iskele olmadan yüksekte kalıp/donatı işine başlamama hakkına sahiptir; bu durum bekletme sayılır.</w:t>
      </w:r>
    </w:p>
    <w:p>
      <w:r>
        <w:rPr>
          <w:rFonts w:ascii="Calibri" w:hAnsi="Calibri"/>
          <w:b w:val="0"/>
          <w:i w:val="0"/>
          <w:sz w:val="22"/>
        </w:rPr>
        <w:t>7.3. Ağır İSG ihlali yazılı ihtar ile giderilir; tekrarında İŞVEREN işi durdurabilir; fesih Madde 12’ye tabidir. Kaza / ölüm halinde mevzuat ve sigorta prosedürü uygulanır; sorumluluk kusur oranına göre belirlenir.</w:t>
      </w:r>
    </w:p>
    <w:p/>
    <w:p>
      <w:pPr>
        <w:pStyle w:val="Heading2"/>
      </w:pPr>
      <w:r>
        <w:t>MADDE 8 — KDV VE TEVKİFAT</w:t>
      </w:r>
    </w:p>
    <w:p>
      <w:r>
        <w:rPr>
          <w:rFonts w:ascii="Calibri" w:hAnsi="Calibri"/>
          <w:b w:val="0"/>
          <w:i w:val="0"/>
          <w:sz w:val="22"/>
        </w:rPr>
        <w:t>8.1. Faturalarda %20 KDV uygulanır. Yapım işlerinde geçerli KDV tevkifat oranı (ör. 4/10 veya güncel oran) uygulanır; taraflar güncel mevzuata uyar.</w:t>
      </w:r>
    </w:p>
    <w:p>
      <w:r>
        <w:rPr>
          <w:rFonts w:ascii="Calibri" w:hAnsi="Calibri"/>
          <w:b w:val="0"/>
          <w:i w:val="0"/>
          <w:sz w:val="22"/>
        </w:rPr>
        <w:t>8.2. Tevkifatlı fatura örneği *(oranlar değişebilir — SMM onayı):*</w:t>
      </w:r>
    </w:p>
    <w:tbl>
      <w:tblPr>
        <w:tblStyle w:val="TableGrid"/>
        <w:tblW w:type="auto" w:w="0"/>
        <w:tblLook w:firstColumn="1" w:firstRow="1" w:lastColumn="0" w:lastRow="0" w:noHBand="0" w:noVBand="1" w:val="04A0"/>
      </w:tblPr>
      <w:tblGrid>
        <w:gridCol w:w="4703"/>
        <w:gridCol w:w="4703"/>
      </w:tblGrid>
      <w:tr>
        <w:tc>
          <w:tcPr>
            <w:tcW w:type="dxa" w:w="4703"/>
          </w:tcPr>
          <w:p>
            <w:r>
              <w:t>Kalem</w:t>
            </w:r>
          </w:p>
        </w:tc>
        <w:tc>
          <w:tcPr>
            <w:tcW w:type="dxa" w:w="4703"/>
          </w:tcPr>
          <w:p>
            <w:r>
              <w:t>Tutar (TL)</w:t>
            </w:r>
          </w:p>
        </w:tc>
      </w:tr>
      <w:tr>
        <w:tc>
          <w:tcPr>
            <w:tcW w:type="dxa" w:w="4703"/>
          </w:tcPr>
          <w:p>
            <w:r>
              <w:t>Hakediş matrahı</w:t>
            </w:r>
          </w:p>
        </w:tc>
        <w:tc>
          <w:tcPr>
            <w:tcW w:type="dxa" w:w="4703"/>
          </w:tcPr>
          <w:p>
            <w:r>
              <w:t>__________</w:t>
            </w:r>
          </w:p>
        </w:tc>
      </w:tr>
      <w:tr>
        <w:tc>
          <w:tcPr>
            <w:tcW w:type="dxa" w:w="4703"/>
          </w:tcPr>
          <w:p>
            <w:r>
              <w:t>KDV (%20)</w:t>
            </w:r>
          </w:p>
        </w:tc>
        <w:tc>
          <w:tcPr>
            <w:tcW w:type="dxa" w:w="4703"/>
          </w:tcPr>
          <w:p>
            <w:r>
              <w:t>__________</w:t>
            </w:r>
          </w:p>
        </w:tc>
      </w:tr>
      <w:tr>
        <w:tc>
          <w:tcPr>
            <w:tcW w:type="dxa" w:w="4703"/>
          </w:tcPr>
          <w:p>
            <w:r>
              <w:t>Tevkifat (İŞVEREN beyanı)</w:t>
            </w:r>
          </w:p>
        </w:tc>
        <w:tc>
          <w:tcPr>
            <w:tcW w:type="dxa" w:w="4703"/>
          </w:tcPr>
          <w:p>
            <w:r>
              <w:t>__________</w:t>
            </w:r>
          </w:p>
        </w:tc>
      </w:tr>
      <w:tr>
        <w:tc>
          <w:tcPr>
            <w:tcW w:type="dxa" w:w="4703"/>
          </w:tcPr>
          <w:p>
            <w:r>
              <w:t>ALT YÜKLENİCİ tahsilat (matrah + kalan KDV)</w:t>
            </w:r>
          </w:p>
        </w:tc>
        <w:tc>
          <w:tcPr>
            <w:tcW w:type="dxa" w:w="4703"/>
          </w:tcPr>
          <w:p>
            <w:r>
              <w:t>__________</w:t>
            </w:r>
          </w:p>
        </w:tc>
      </w:tr>
    </w:tbl>
    <w:p/>
    <w:p>
      <w:r>
        <w:rPr>
          <w:rFonts w:ascii="Calibri" w:hAnsi="Calibri"/>
          <w:b w:val="0"/>
          <w:i w:val="0"/>
          <w:sz w:val="22"/>
        </w:rPr>
        <w:t>8.3. Yanlış tevkifat uygulamasından doğan ceza ve faizler, hata yapan tarafın kusuruna göre tazmin edilir.</w:t>
      </w:r>
    </w:p>
    <w:p/>
    <w:p>
      <w:pPr>
        <w:pStyle w:val="Heading2"/>
      </w:pPr>
      <w:r>
        <w:t>MADDE 9 — KALİTE, KABUL, AYIP VE TEMİNAT</w:t>
      </w:r>
    </w:p>
    <w:p>
      <w:r>
        <w:rPr>
          <w:rFonts w:ascii="Calibri" w:hAnsi="Calibri"/>
          <w:b w:val="0"/>
          <w:i w:val="0"/>
          <w:sz w:val="22"/>
        </w:rPr>
        <w:t>9.1. İmalat; onaylı statik ve mimari projelere, genel/özel teknik şartnamelere ve İŞVEREN’in yazılı şantiye talimatlarına uygun olacaktır. Sözlü talimat ancak 24 saat içinde yazıya dönüştürülürse bağlayıcıdır.</w:t>
      </w:r>
    </w:p>
    <w:p>
      <w:r>
        <w:rPr>
          <w:rFonts w:ascii="Calibri" w:hAnsi="Calibri"/>
          <w:b w:val="0"/>
          <w:i w:val="0"/>
          <w:sz w:val="22"/>
        </w:rPr>
        <w:t>9.2. Donatı kabul: Beton dökümünden önce Donatı Tutanaklı Kontrol (fotoğraflı) imzalanır. İmzasız / kontrolsüz döküme izin verilmesi halinde ALT YÜKLENİCİ donatı ayıbından sorumlu tutulamaz *(kalıp ayıpları hariç)*.</w:t>
      </w:r>
    </w:p>
    <w:p>
      <w:r>
        <w:rPr>
          <w:rFonts w:ascii="Calibri" w:hAnsi="Calibri"/>
          <w:b w:val="0"/>
          <w:i w:val="0"/>
          <w:sz w:val="22"/>
        </w:rPr>
        <w:t>9.3. Kalıp kabul: Beton öncesi kalıp geometri, temizlik ve yağlama kontrolü tutanağı.</w:t>
      </w:r>
    </w:p>
    <w:p>
      <w:r>
        <w:rPr>
          <w:rFonts w:ascii="Calibri" w:hAnsi="Calibri"/>
          <w:b w:val="0"/>
          <w:i w:val="0"/>
          <w:sz w:val="22"/>
        </w:rPr>
        <w:t>9.4. Ayıplı imalat: ALT YÜKLENİCİ, makul süre içinde bedelsiz düzeltir; ayıp İŞVEREN / üçüncü kişi kaynaklı ise bedel ayrı hakediş.</w:t>
      </w:r>
    </w:p>
    <w:p>
      <w:r>
        <w:rPr>
          <w:rFonts w:ascii="Calibri" w:hAnsi="Calibri"/>
          <w:b w:val="0"/>
          <w:i w:val="0"/>
          <w:sz w:val="22"/>
        </w:rPr>
        <w:t xml:space="preserve">9.5. Geçici kabul: __________  </w:t>
      </w:r>
    </w:p>
    <w:p>
      <w:r>
        <w:rPr>
          <w:rFonts w:ascii="Calibri" w:hAnsi="Calibri"/>
          <w:b w:val="0"/>
          <w:i w:val="0"/>
          <w:sz w:val="22"/>
        </w:rPr>
        <w:t xml:space="preserve">Kesin kabul: __________  </w:t>
      </w:r>
    </w:p>
    <w:p>
      <w:r>
        <w:rPr>
          <w:rFonts w:ascii="Calibri" w:hAnsi="Calibri"/>
          <w:b w:val="0"/>
          <w:i w:val="0"/>
          <w:sz w:val="22"/>
        </w:rPr>
        <w:t>Teminat / nakit kesinti iadesi: kesin kabulden itibaren ____ gün içinde.</w:t>
      </w:r>
    </w:p>
    <w:p>
      <w:r>
        <w:rPr>
          <w:rFonts w:ascii="Calibri" w:hAnsi="Calibri"/>
          <w:b w:val="0"/>
          <w:i w:val="0"/>
          <w:sz w:val="22"/>
        </w:rPr>
        <w:t>9.6. Garanti süresi: Kesin kabulden itibaren ____ ay *(öneri: 12 — sadece kalıp işçiliği ayıpları; demir işçiliği TBK / Yönetmelik süreleri saklı)*.</w:t>
      </w:r>
    </w:p>
    <w:p/>
    <w:p>
      <w:pPr>
        <w:pStyle w:val="Heading2"/>
      </w:pPr>
      <w:r>
        <w:t>MADDE 10 — BELGE, DELİL VE TUTANAKLAR</w:t>
      </w:r>
    </w:p>
    <w:p>
      <w:r>
        <w:rPr>
          <w:rFonts w:ascii="Calibri" w:hAnsi="Calibri"/>
          <w:b w:val="0"/>
          <w:i w:val="0"/>
          <w:sz w:val="22"/>
        </w:rPr>
        <w:t>10.1. Taraflar; metraj, bekletme, iş emri, revizyon, puantaj ve fotoğrafların yazılı / elektronik (e-posta, WhatsApp iş grubu — numaralar ekte) kaydının delil olduğunu kabul eder.</w:t>
      </w:r>
    </w:p>
    <w:p>
      <w:r>
        <w:rPr>
          <w:rFonts w:ascii="Calibri" w:hAnsi="Calibri"/>
          <w:b w:val="0"/>
          <w:i w:val="0"/>
          <w:sz w:val="22"/>
        </w:rPr>
        <w:t>10.2. Günlük şantiye defteri veya haftalık ilerleme tutanağı tutulması önerilir; imzalanmayan tutanak 3 iş günü içinde itiraz edilmezse kabul edilmiş sayılır *(Madde 5.2 ile uyumlu)*.</w:t>
      </w:r>
    </w:p>
    <w:p>
      <w:r>
        <w:rPr>
          <w:rFonts w:ascii="Calibri" w:hAnsi="Calibri"/>
          <w:b w:val="0"/>
          <w:i w:val="0"/>
          <w:sz w:val="22"/>
        </w:rPr>
        <w:t>10.3. Uyuşmazlıkta fotoğraf, video, GPS’li saha kaydı ve hakediş yazışmaları delil olarak kullanılabilir.</w:t>
      </w:r>
    </w:p>
    <w:p/>
    <w:p>
      <w:pPr>
        <w:pStyle w:val="Heading2"/>
      </w:pPr>
      <w:r>
        <w:t>MADDE 11 — FİKRİ MÜLKİYET VE PROJE BELGELERİ</w:t>
      </w:r>
    </w:p>
    <w:p>
      <w:r>
        <w:rPr>
          <w:rFonts w:ascii="Calibri" w:hAnsi="Calibri"/>
          <w:b w:val="0"/>
          <w:i w:val="0"/>
          <w:sz w:val="22"/>
        </w:rPr>
        <w:t>11.1. Proje DWG/PDF dosyaları idare / ana yüklenici mülkiyetindedir; ALT YÜKLENİCİ yalnızca iş için kullanır, üçüncü kişiye devredemez.</w:t>
      </w:r>
    </w:p>
    <w:p>
      <w:r>
        <w:rPr>
          <w:rFonts w:ascii="Calibri" w:hAnsi="Calibri"/>
          <w:b w:val="0"/>
          <w:i w:val="0"/>
          <w:sz w:val="22"/>
        </w:rPr>
        <w:t>11.2. İş bitiminde veya İŞVEREN talebinde dijital kopyalar iade edilir / imha edilir.</w:t>
      </w:r>
    </w:p>
    <w:p/>
    <w:p>
      <w:pPr>
        <w:pStyle w:val="Heading2"/>
      </w:pPr>
      <w:r>
        <w:t>MADDE 12 — FESİH VE İŞİ DURDURMA</w:t>
      </w:r>
    </w:p>
    <w:p>
      <w:r>
        <w:rPr>
          <w:rFonts w:ascii="Calibri" w:hAnsi="Calibri"/>
          <w:b w:val="0"/>
          <w:i w:val="0"/>
          <w:sz w:val="22"/>
        </w:rPr>
        <w:t>12.1. Haklı nedenle fesih: Esaslı ihlal (ağır İSG, sahte sigorta, hileli metraj, ağır ayıp, işi terk) — 7 gün yazılı ihtar, giderilmezse fesih.</w:t>
      </w:r>
    </w:p>
    <w:p>
      <w:r>
        <w:rPr>
          <w:rFonts w:ascii="Calibri" w:hAnsi="Calibri"/>
          <w:b w:val="0"/>
          <w:i w:val="0"/>
          <w:sz w:val="22"/>
        </w:rPr>
        <w:t>12.2. Ödeme temerrüdü: Vadesi geçmiş 2 (iki) hakediş veya toplam ________ TL alacağın 15 gün ihtarla ödenmemesi halinde ALT YÜKLENİCİ işi durdurabilir veya feshedebilir.</w:t>
      </w:r>
    </w:p>
    <w:p>
      <w:r>
        <w:rPr>
          <w:rFonts w:ascii="Calibri" w:hAnsi="Calibri"/>
          <w:b w:val="0"/>
          <w:i w:val="0"/>
          <w:sz w:val="22"/>
        </w:rPr>
        <w:t>12.3. İşi durdurma: Madde 4.4, 7.2 ve 12.2 kapsamında durdurma meşru savunma sayılır; bu sürede gecikme cezası ALT YÜKLENİCİ’ye yüklenemez.</w:t>
      </w:r>
    </w:p>
    <w:p>
      <w:r>
        <w:rPr>
          <w:rFonts w:ascii="Calibri" w:hAnsi="Calibri"/>
          <w:b w:val="0"/>
          <w:i w:val="0"/>
          <w:sz w:val="22"/>
        </w:rPr>
        <w:t>12.4. Fesih hükümleri: Yapılmış ve tutanakla tespit edilmiş imalat hakedişe bağlanır; 15 gün içinde ödenir. Malzeme stoku (kalıp malzemesi) iade/değerleme Ek-5 usulüne göre.</w:t>
      </w:r>
    </w:p>
    <w:p>
      <w:r>
        <w:rPr>
          <w:rFonts w:ascii="Calibri" w:hAnsi="Calibri"/>
          <w:b w:val="0"/>
          <w:i w:val="0"/>
          <w:sz w:val="22"/>
        </w:rPr>
        <w:t>12.5. Cezai şart tavanı: Gecikme cezası günlük sözleşme bedelinin %____’ini *(öneri: 0,1 — on binde bir)* aşamaz; toplam ceza sözleşme bedelinin %____’ini *(öneri: 10)* aşamaz. Aşan ceza maddeleri geçersizdir *(ALT YÜKLENİCİ lehine)*.</w:t>
      </w:r>
    </w:p>
    <w:p/>
    <w:p>
      <w:pPr>
        <w:pStyle w:val="Heading2"/>
      </w:pPr>
      <w:r>
        <w:t>MADDE 13 — MÜCBİR SEBEP</w:t>
      </w:r>
    </w:p>
    <w:p>
      <w:r>
        <w:rPr>
          <w:rFonts w:ascii="Calibri" w:hAnsi="Calibri"/>
          <w:b w:val="0"/>
          <w:i w:val="0"/>
          <w:sz w:val="22"/>
        </w:rPr>
        <w:t>13.1. Doğal afet, savaş, salgın (resmi kısıtlama), idari yasak, proje askıya alma mücbir sebep sayılabilir.</w:t>
      </w:r>
    </w:p>
    <w:p>
      <w:r>
        <w:rPr>
          <w:rFonts w:ascii="Calibri" w:hAnsi="Calibri"/>
          <w:b w:val="0"/>
          <w:i w:val="0"/>
          <w:sz w:val="22"/>
        </w:rPr>
        <w:t>13.2. Taraf 5 gün içinde yazılı bildirir; süre makul oranda uzar; birim fiyat değişmez. 90 günü aşan mücbir sebep taraflara fesih hakkı verir; yapılan iş hakedişi ödenir.</w:t>
      </w:r>
    </w:p>
    <w:p/>
    <w:p>
      <w:pPr>
        <w:pStyle w:val="Heading2"/>
      </w:pPr>
      <w:r>
        <w:t>MADDE 14 — ANA SÖZLEŞME ZİNCİRİ VE ŞEFFAFLIK</w:t>
      </w:r>
    </w:p>
    <w:p>
      <w:r>
        <w:rPr>
          <w:rFonts w:ascii="Calibri" w:hAnsi="Calibri"/>
          <w:b w:val="0"/>
          <w:i w:val="0"/>
          <w:sz w:val="22"/>
        </w:rPr>
        <w:t>14.1. İŞVEREN, ana yüklenici ile imzaladığı sözleşmeden ALT YÜKLENİCİ’yi doğrudan ilgilendiren hükümlerin suretini (ticari sır gerekçesiyle kısmen sansürlenebilir) 15 gün içinde sunar: metraj kuralları, ödeme vadesi, İSG yükümlülükleri, cezai hükümler.</w:t>
      </w:r>
    </w:p>
    <w:p>
      <w:r>
        <w:rPr>
          <w:rFonts w:ascii="Calibri" w:hAnsi="Calibri"/>
          <w:b w:val="0"/>
          <w:i w:val="0"/>
          <w:sz w:val="22"/>
        </w:rPr>
        <w:t>14.2. Ana sözleşmede ALT YÜKLENİCİ aleyhine daha ağır yükümlülük varsa, ALT YÜKLENİCİ’ye yansıtılması yazılı ek protokolle olur; aksi halde İŞVEREN ALT YÜKLENİCİ’yi koruma yükümlülüğündedir.</w:t>
      </w:r>
    </w:p>
    <w:p>
      <w:r>
        <w:rPr>
          <w:rFonts w:ascii="Calibri" w:hAnsi="Calibri"/>
          <w:b w:val="0"/>
          <w:i w:val="0"/>
          <w:sz w:val="22"/>
        </w:rPr>
        <w:t>14.3. İdare / ana yüklenici kaynaklı iş artışı bedeli ALT YÜKLENİCİ’ye orantılı yansıtılır.</w:t>
      </w:r>
    </w:p>
    <w:p/>
    <w:p>
      <w:pPr>
        <w:pStyle w:val="Heading2"/>
      </w:pPr>
      <w:r>
        <w:t>MADDE 15 — UYUŞMAZLIK ÇÖZÜMÜ</w:t>
      </w:r>
    </w:p>
    <w:p>
      <w:r>
        <w:rPr>
          <w:rFonts w:ascii="Calibri" w:hAnsi="Calibri"/>
          <w:b w:val="0"/>
          <w:i w:val="0"/>
          <w:sz w:val="22"/>
        </w:rPr>
        <w:t>15.1. Öncelikle 15 gün yazılı müzakere.</w:t>
      </w:r>
    </w:p>
    <w:p>
      <w:r>
        <w:rPr>
          <w:rFonts w:ascii="Calibri" w:hAnsi="Calibri"/>
          <w:b w:val="0"/>
          <w:i w:val="0"/>
          <w:sz w:val="22"/>
        </w:rPr>
        <w:t>15.2. Anlaşmazlık halinde *(birini seçiniz)*:</w:t>
      </w:r>
    </w:p>
    <w:p>
      <w:pPr>
        <w:pStyle w:val="ListBullet"/>
      </w:pPr>
      <w:r>
        <w:t>☐ **__________________ Mahkemeleri** ve **__________________ İcra Daireleri** yetkilidir.</w:t>
      </w:r>
    </w:p>
    <w:p>
      <w:pPr>
        <w:pStyle w:val="ListBullet"/>
      </w:pPr>
      <w:r>
        <w:t>☐ **__________________ İl Merkezi** için **Türk Ticaret Kanunu** hükümlerine göre **arabuluculuk** (ticari uyuşmazlık) — dava şartı.</w:t>
      </w:r>
    </w:p>
    <w:p>
      <w:r>
        <w:rPr>
          <w:rFonts w:ascii="Calibri" w:hAnsi="Calibri"/>
          <w:b w:val="0"/>
          <w:i w:val="0"/>
          <w:sz w:val="22"/>
        </w:rPr>
        <w:t>15.3. Süre aşımı: Alacak talepleri her hakediş dönemi için 2 yıl içinde yazılı ileri sürülmezse zamanaşımına uğrar *(TBK genel süreler saklı — avukat uyarısı)*.</w:t>
      </w:r>
    </w:p>
    <w:p/>
    <w:p>
      <w:pPr>
        <w:pStyle w:val="Heading2"/>
      </w:pPr>
      <w:r>
        <w:t>MADDE 16 — GİZLİLİK VE KİŞİSEL VERİ</w:t>
      </w:r>
    </w:p>
    <w:p>
      <w:r>
        <w:rPr>
          <w:rFonts w:ascii="Calibri" w:hAnsi="Calibri"/>
          <w:b w:val="0"/>
          <w:i w:val="0"/>
          <w:sz w:val="22"/>
        </w:rPr>
        <w:t>16.1. Sözleşme bedeli, ticari koşullar ve şantiye bilgileri gizlidir; kanuni zorunluluk hariç üçüncü kişiye açıklanmaz.</w:t>
      </w:r>
    </w:p>
    <w:p>
      <w:r>
        <w:rPr>
          <w:rFonts w:ascii="Calibri" w:hAnsi="Calibri"/>
          <w:b w:val="0"/>
          <w:i w:val="0"/>
          <w:sz w:val="22"/>
        </w:rPr>
        <w:t>16.2. Personel KVKK kapsamında tarafların aydınlatma yükümlülükleri kendi sorumluluğundadır.</w:t>
      </w:r>
    </w:p>
    <w:p/>
    <w:p>
      <w:pPr>
        <w:pStyle w:val="Heading2"/>
      </w:pPr>
      <w:r>
        <w:t>MADDE 17 — BİLDİRİMLER</w:t>
      </w:r>
    </w:p>
    <w:p>
      <w:r>
        <w:rPr>
          <w:rFonts w:ascii="Calibri" w:hAnsi="Calibri"/>
          <w:b w:val="0"/>
          <w:i w:val="0"/>
          <w:sz w:val="22"/>
        </w:rPr>
        <w:t>17.1. Resmi bildirim adresleri yukarıdaki adreslerdir. Değişiklik 7 gün önceden yazılı bildirilir.</w:t>
      </w:r>
    </w:p>
    <w:p>
      <w:r>
        <w:rPr>
          <w:rFonts w:ascii="Calibri" w:hAnsi="Calibri"/>
          <w:b w:val="0"/>
          <w:i w:val="0"/>
          <w:sz w:val="22"/>
        </w:rPr>
        <w:t xml:space="preserve">17.2. E-posta: İŞVEREN __________________ / ALT YÜKLENİCİ __________________  </w:t>
      </w:r>
    </w:p>
    <w:p>
      <w:r>
        <w:rPr>
          <w:rFonts w:ascii="Calibri" w:hAnsi="Calibri"/>
          <w:b w:val="0"/>
          <w:i w:val="0"/>
          <w:sz w:val="22"/>
        </w:rPr>
        <w:t>*(“Okundu” teyidi ile tebligat sayılabilir — taraflar kabul eder.)*</w:t>
      </w:r>
    </w:p>
    <w:p/>
    <w:p>
      <w:pPr>
        <w:pStyle w:val="Heading2"/>
      </w:pPr>
      <w:r>
        <w:t>MADDE 18 — SÖZLEŞME BÜTÜNLÜĞÜ VE EKLER</w:t>
      </w:r>
    </w:p>
    <w:p>
      <w:r>
        <w:rPr>
          <w:rFonts w:ascii="Calibri" w:hAnsi="Calibri"/>
          <w:b w:val="0"/>
          <w:i w:val="0"/>
          <w:sz w:val="22"/>
        </w:rPr>
        <w:t>18.1. İşbu sözleşme ____ sayfa ve eklerinden oluşur. Çelişkide ek protokol ve imzalı tutanaklar önceliklidir.</w:t>
      </w:r>
    </w:p>
    <w:p>
      <w:r>
        <w:rPr>
          <w:rFonts w:ascii="Calibri" w:hAnsi="Calibri"/>
          <w:b w:val="0"/>
          <w:i w:val="0"/>
          <w:sz w:val="22"/>
        </w:rPr>
        <w:t>Ekler:</w:t>
      </w:r>
    </w:p>
    <w:tbl>
      <w:tblPr>
        <w:tblStyle w:val="TableGrid"/>
        <w:tblW w:type="auto" w:w="0"/>
        <w:tblLook w:firstColumn="1" w:firstRow="1" w:lastColumn="0" w:lastRow="0" w:noHBand="0" w:noVBand="1" w:val="04A0"/>
      </w:tblPr>
      <w:tblGrid>
        <w:gridCol w:w="4703"/>
        <w:gridCol w:w="4703"/>
      </w:tblGrid>
      <w:tr>
        <w:tc>
          <w:tcPr>
            <w:tcW w:type="dxa" w:w="4703"/>
          </w:tcPr>
          <w:p>
            <w:r>
              <w:t>Ek</w:t>
            </w:r>
          </w:p>
        </w:tc>
        <w:tc>
          <w:tcPr>
            <w:tcW w:type="dxa" w:w="4703"/>
          </w:tcPr>
          <w:p>
            <w:r>
              <w:t>Unvan</w:t>
            </w:r>
          </w:p>
        </w:tc>
      </w:tr>
      <w:tr>
        <w:tc>
          <w:tcPr>
            <w:tcW w:type="dxa" w:w="4703"/>
          </w:tcPr>
          <w:p>
            <w:r>
              <w:t>Ek-1</w:t>
            </w:r>
          </w:p>
        </w:tc>
        <w:tc>
          <w:tcPr>
            <w:tcW w:type="dxa" w:w="4703"/>
          </w:tcPr>
          <w:p>
            <w:r>
              <w:t>Düz ölçü metraj cetveli (düğün salonu + istinat pozları)</w:t>
            </w:r>
          </w:p>
        </w:tc>
      </w:tr>
      <w:tr>
        <w:tc>
          <w:tcPr>
            <w:tcW w:type="dxa" w:w="4703"/>
          </w:tcPr>
          <w:p>
            <w:r>
              <w:t>Ek-2</w:t>
            </w:r>
          </w:p>
        </w:tc>
        <w:tc>
          <w:tcPr>
            <w:tcW w:type="dxa" w:w="4703"/>
          </w:tcPr>
          <w:p>
            <w:r>
              <w:t>Onaylı pafta listesi (DWG/PDF dosya adları ve revizyon)</w:t>
            </w:r>
          </w:p>
        </w:tc>
      </w:tr>
      <w:tr>
        <w:tc>
          <w:tcPr>
            <w:tcW w:type="dxa" w:w="4703"/>
          </w:tcPr>
          <w:p>
            <w:r>
              <w:t>Ek-3</w:t>
            </w:r>
          </w:p>
        </w:tc>
        <w:tc>
          <w:tcPr>
            <w:tcW w:type="dxa" w:w="4703"/>
          </w:tcPr>
          <w:p>
            <w:r>
              <w:t>Birim fiyat ve kapsam özeti (1.950 TL/m² — dahil/hariç tablosu)</w:t>
            </w:r>
          </w:p>
        </w:tc>
      </w:tr>
      <w:tr>
        <w:tc>
          <w:tcPr>
            <w:tcW w:type="dxa" w:w="4703"/>
          </w:tcPr>
          <w:p>
            <w:r>
              <w:t>Ek-4</w:t>
            </w:r>
          </w:p>
        </w:tc>
        <w:tc>
          <w:tcPr>
            <w:tcW w:type="dxa" w:w="4703"/>
          </w:tcPr>
          <w:p>
            <w:r>
              <w:t>Bekletme / yevmiye birim fiyatları</w:t>
            </w:r>
          </w:p>
        </w:tc>
      </w:tr>
      <w:tr>
        <w:tc>
          <w:tcPr>
            <w:tcW w:type="dxa" w:w="4703"/>
          </w:tcPr>
          <w:p>
            <w:r>
              <w:t>Ek-5</w:t>
            </w:r>
          </w:p>
        </w:tc>
        <w:tc>
          <w:tcPr>
            <w:tcW w:type="dxa" w:w="4703"/>
          </w:tcPr>
          <w:p>
            <w:r>
              <w:t>Fesih halinde malzeme iade ve değerleme usulü</w:t>
            </w:r>
          </w:p>
        </w:tc>
      </w:tr>
      <w:tr>
        <w:tc>
          <w:tcPr>
            <w:tcW w:type="dxa" w:w="4703"/>
          </w:tcPr>
          <w:p>
            <w:r>
              <w:t>Ek-6</w:t>
            </w:r>
          </w:p>
        </w:tc>
        <w:tc>
          <w:tcPr>
            <w:tcW w:type="dxa" w:w="4703"/>
          </w:tcPr>
          <w:p>
            <w:r>
              <w:t>İSG / MYB / ekip listesi ve sorumluluk matrisi</w:t>
            </w:r>
          </w:p>
        </w:tc>
      </w:tr>
      <w:tr>
        <w:tc>
          <w:tcPr>
            <w:tcW w:type="dxa" w:w="4703"/>
          </w:tcPr>
          <w:p>
            <w:r>
              <w:t>Ek-7</w:t>
            </w:r>
          </w:p>
        </w:tc>
        <w:tc>
          <w:tcPr>
            <w:tcW w:type="dxa" w:w="4703"/>
          </w:tcPr>
          <w:p>
            <w:r>
              <w:t>Hakediş örnek formu ve fotoğraf listesi</w:t>
            </w:r>
          </w:p>
        </w:tc>
      </w:tr>
    </w:tbl>
    <w:p/>
    <w:p>
      <w:r>
        <w:rPr>
          <w:rFonts w:ascii="Calibri" w:hAnsi="Calibri"/>
          <w:b w:val="0"/>
          <w:i w:val="0"/>
          <w:sz w:val="22"/>
        </w:rPr>
        <w:t>18.2. Damga vergisi: 488 sayılı Kanun uyarınca %0,948 *(oran değişirse güncel)* — taraflar yarı yarıya / ALT YÜKLENİCİ / İŞVEREN *(seçiniz)*.</w:t>
      </w:r>
    </w:p>
    <w:p/>
    <w:p>
      <w:pPr>
        <w:pStyle w:val="Heading2"/>
      </w:pPr>
      <w:r>
        <w:t>MADDE 19 — YÜRÜRLÜK</w:t>
      </w:r>
    </w:p>
    <w:p>
      <w:r>
        <w:rPr>
          <w:rFonts w:ascii="Calibri" w:hAnsi="Calibri"/>
          <w:b w:val="0"/>
          <w:i w:val="0"/>
          <w:sz w:val="22"/>
        </w:rPr>
        <w:t>19.1. İşbu sözleşme 2 (iki) nüsha düzenlenmiş; taraflarca okunup imzalandığı ____ / ____ / 20____ tarihinde yürürlüğe girer.</w:t>
      </w:r>
    </w:p>
    <w:p/>
    <w:p>
      <w:r>
        <w:br w:type="page"/>
      </w:r>
    </w:p>
    <w:p>
      <w:pPr>
        <w:pStyle w:val="Heading1"/>
      </w:pPr>
      <w:r>
        <w:t>İMZA BLOKLARI</w:t>
      </w:r>
    </w:p>
    <w:tbl>
      <w:tblPr>
        <w:tblStyle w:val="TableGrid"/>
        <w:tblW w:type="auto" w:w="0"/>
        <w:tblLook w:firstColumn="1" w:firstRow="1" w:lastColumn="0" w:lastRow="0" w:noHBand="0" w:noVBand="1" w:val="04A0"/>
      </w:tblPr>
      <w:tblGrid>
        <w:gridCol w:w="4703"/>
        <w:gridCol w:w="4703"/>
      </w:tblGrid>
      <w:tr>
        <w:tc>
          <w:tcPr>
            <w:tcW w:type="dxa" w:w="4703"/>
          </w:tcPr>
          <w:p>
            <w:r>
              <w:t>İŞVEREN (1. derece taşeron)</w:t>
            </w:r>
          </w:p>
        </w:tc>
        <w:tc>
          <w:tcPr>
            <w:tcW w:type="dxa" w:w="4703"/>
          </w:tcPr>
          <w:p>
            <w:r>
              <w:t>ALT YÜKLENİCİ</w:t>
            </w:r>
          </w:p>
        </w:tc>
      </w:tr>
      <w:tr>
        <w:tc>
          <w:tcPr>
            <w:tcW w:type="dxa" w:w="4703"/>
          </w:tcPr>
          <w:p>
            <w:r>
              <w:t>Unvan / Ad Soyad:</w:t>
            </w:r>
          </w:p>
        </w:tc>
        <w:tc>
          <w:tcPr>
            <w:tcW w:type="dxa" w:w="4703"/>
          </w:tcPr>
          <w:p>
            <w:r>
              <w:t>Unvan / Ad Soyad:</w:t>
            </w:r>
          </w:p>
        </w:tc>
      </w:tr>
      <w:tr>
        <w:tc>
          <w:tcPr>
            <w:tcW w:type="dxa" w:w="4703"/>
          </w:tcPr>
          <w:p>
            <w:r>
              <w:t>Yetkili:</w:t>
            </w:r>
          </w:p>
        </w:tc>
        <w:tc>
          <w:tcPr>
            <w:tcW w:type="dxa" w:w="4703"/>
          </w:tcPr>
          <w:p>
            <w:r>
              <w:t>Yetkili:</w:t>
            </w:r>
          </w:p>
        </w:tc>
      </w:tr>
      <w:tr>
        <w:tc>
          <w:tcPr>
            <w:tcW w:type="dxa" w:w="4703"/>
          </w:tcPr>
          <w:p>
            <w:r>
              <w:t>İmza / Kaşe:</w:t>
            </w:r>
          </w:p>
        </w:tc>
        <w:tc>
          <w:tcPr>
            <w:tcW w:type="dxa" w:w="4703"/>
          </w:tcPr>
          <w:p>
            <w:r>
              <w:t>İmza / Kaşe:</w:t>
            </w:r>
          </w:p>
        </w:tc>
      </w:tr>
      <w:tr>
        <w:tc>
          <w:tcPr>
            <w:tcW w:type="dxa" w:w="4703"/>
          </w:tcPr>
          <w:p>
            <w:r>
              <w:t>Tarih:</w:t>
            </w:r>
          </w:p>
        </w:tc>
        <w:tc>
          <w:tcPr>
            <w:tcW w:type="dxa" w:w="4703"/>
          </w:tcPr>
          <w:p>
            <w:r>
              <w:t>Tarih:</w:t>
            </w:r>
          </w:p>
        </w:tc>
      </w:tr>
    </w:tbl>
    <w:p/>
    <w:p/>
    <w:p>
      <w:r>
        <w:br w:type="page"/>
      </w:r>
    </w:p>
    <w:p>
      <w:pPr>
        <w:pStyle w:val="Heading1"/>
      </w:pPr>
      <w:r>
        <w:t>EK-3 ÖZET — BİRİM FİYAT KAPSAM TABLOSU (İMZA İLE ONAYLANIR)</w:t>
      </w:r>
    </w:p>
    <w:tbl>
      <w:tblPr>
        <w:tblStyle w:val="TableGrid"/>
        <w:tblW w:type="auto" w:w="0"/>
        <w:tblLook w:firstColumn="1" w:firstRow="1" w:lastColumn="0" w:lastRow="0" w:noHBand="0" w:noVBand="1" w:val="04A0"/>
      </w:tblPr>
      <w:tblGrid>
        <w:gridCol w:w="4703"/>
        <w:gridCol w:w="4703"/>
      </w:tblGrid>
      <w:tr>
        <w:tc>
          <w:tcPr>
            <w:tcW w:type="dxa" w:w="4703"/>
          </w:tcPr>
          <w:p>
            <w:r>
              <w:t>Unsur</w:t>
            </w:r>
          </w:p>
        </w:tc>
        <w:tc>
          <w:tcPr>
            <w:tcW w:type="dxa" w:w="4703"/>
          </w:tcPr>
          <w:p>
            <w:r>
              <w:t>Durum</w:t>
            </w:r>
          </w:p>
        </w:tc>
      </w:tr>
      <w:tr>
        <w:tc>
          <w:tcPr>
            <w:tcW w:type="dxa" w:w="4703"/>
          </w:tcPr>
          <w:p>
            <w:r>
              <w:t>Demir (donatı) işçiliği</w:t>
            </w:r>
          </w:p>
        </w:tc>
        <w:tc>
          <w:tcPr>
            <w:tcW w:type="dxa" w:w="4703"/>
          </w:tcPr>
          <w:p>
            <w:r>
              <w:t>DAHİL</w:t>
            </w:r>
          </w:p>
        </w:tc>
      </w:tr>
      <w:tr>
        <w:tc>
          <w:tcPr>
            <w:tcW w:type="dxa" w:w="4703"/>
          </w:tcPr>
          <w:p>
            <w:r>
              <w:t>Kalıp işçiliği</w:t>
            </w:r>
          </w:p>
        </w:tc>
        <w:tc>
          <w:tcPr>
            <w:tcW w:type="dxa" w:w="4703"/>
          </w:tcPr>
          <w:p>
            <w:r>
              <w:t>DAHİL</w:t>
            </w:r>
          </w:p>
        </w:tc>
      </w:tr>
      <w:tr>
        <w:tc>
          <w:tcPr>
            <w:tcW w:type="dxa" w:w="4703"/>
          </w:tcPr>
          <w:p>
            <w:r>
              <w:t>Kalıp malzemesi</w:t>
            </w:r>
          </w:p>
        </w:tc>
        <w:tc>
          <w:tcPr>
            <w:tcW w:type="dxa" w:w="4703"/>
          </w:tcPr>
          <w:p>
            <w:r>
              <w:t>DAHİL</w:t>
            </w:r>
          </w:p>
        </w:tc>
      </w:tr>
      <w:tr>
        <w:tc>
          <w:tcPr>
            <w:tcW w:type="dxa" w:w="4703"/>
          </w:tcPr>
          <w:p>
            <w:r>
              <w:t>Demir malzemesi</w:t>
            </w:r>
          </w:p>
        </w:tc>
        <w:tc>
          <w:tcPr>
            <w:tcW w:type="dxa" w:w="4703"/>
          </w:tcPr>
          <w:p>
            <w:r>
              <w:t>HARİÇ — İŞVEREN</w:t>
            </w:r>
          </w:p>
        </w:tc>
      </w:tr>
      <w:tr>
        <w:tc>
          <w:tcPr>
            <w:tcW w:type="dxa" w:w="4703"/>
          </w:tcPr>
          <w:p>
            <w:r>
              <w:t>Hasır / nervürlü çelik / bağ teli</w:t>
            </w:r>
          </w:p>
        </w:tc>
        <w:tc>
          <w:tcPr>
            <w:tcW w:type="dxa" w:w="4703"/>
          </w:tcPr>
          <w:p>
            <w:r>
              <w:t>HARİÇ — İŞVEREN</w:t>
            </w:r>
          </w:p>
        </w:tc>
      </w:tr>
      <w:tr>
        <w:tc>
          <w:tcPr>
            <w:tcW w:type="dxa" w:w="4703"/>
          </w:tcPr>
          <w:p>
            <w:r>
              <w:t>İskele / platform</w:t>
            </w:r>
          </w:p>
        </w:tc>
        <w:tc>
          <w:tcPr>
            <w:tcW w:type="dxa" w:w="4703"/>
          </w:tcPr>
          <w:p>
            <w:r>
              <w:t>HARİÇ — İŞVEREN</w:t>
            </w:r>
          </w:p>
        </w:tc>
      </w:tr>
      <w:tr>
        <w:tc>
          <w:tcPr>
            <w:tcW w:type="dxa" w:w="4703"/>
          </w:tcPr>
          <w:p>
            <w:r>
              <w:t>Beton / pompa</w:t>
            </w:r>
          </w:p>
        </w:tc>
        <w:tc>
          <w:tcPr>
            <w:tcW w:type="dxa" w:w="4703"/>
          </w:tcPr>
          <w:p>
            <w:r>
              <w:t>HARİÇ</w:t>
            </w:r>
          </w:p>
        </w:tc>
      </w:tr>
      <w:tr>
        <w:tc>
          <w:tcPr>
            <w:tcW w:type="dxa" w:w="4703"/>
          </w:tcPr>
          <w:p>
            <w:r>
              <w:t>Vinç / nakliye</w:t>
            </w:r>
          </w:p>
        </w:tc>
        <w:tc>
          <w:tcPr>
            <w:tcW w:type="dxa" w:w="4703"/>
          </w:tcPr>
          <w:p>
            <w:r>
              <w:t>HARİÇ</w:t>
            </w:r>
          </w:p>
        </w:tc>
      </w:tr>
      <w:tr>
        <w:tc>
          <w:tcPr>
            <w:tcW w:type="dxa" w:w="4703"/>
          </w:tcPr>
          <w:p>
            <w:r>
              <w:t>Ölçü yöntemi</w:t>
            </w:r>
          </w:p>
        </w:tc>
        <w:tc>
          <w:tcPr>
            <w:tcW w:type="dxa" w:w="4703"/>
          </w:tcPr>
          <w:p>
            <w:r>
              <w:t>Düz ölçü</w:t>
            </w:r>
          </w:p>
        </w:tc>
      </w:tr>
      <w:tr>
        <w:tc>
          <w:tcPr>
            <w:tcW w:type="dxa" w:w="4703"/>
          </w:tcPr>
          <w:p>
            <w:r>
              <w:t>Birim fiyat</w:t>
            </w:r>
          </w:p>
        </w:tc>
        <w:tc>
          <w:tcPr>
            <w:tcW w:type="dxa" w:w="4703"/>
          </w:tcPr>
          <w:p>
            <w:r>
              <w:t>1.950 TL/m² (KDV hariç)</w:t>
            </w:r>
          </w:p>
        </w:tc>
      </w:tr>
      <w:tr>
        <w:tc>
          <w:tcPr>
            <w:tcW w:type="dxa" w:w="4703"/>
          </w:tcPr>
          <w:p>
            <w:r>
              <w:t>Referans toplam metraj</w:t>
            </w:r>
          </w:p>
        </w:tc>
        <w:tc>
          <w:tcPr>
            <w:tcW w:type="dxa" w:w="4703"/>
          </w:tcPr>
          <w:p>
            <w:r>
              <w:t>~9.491 m² (kesinleşecek)</w:t>
            </w:r>
          </w:p>
        </w:tc>
      </w:tr>
    </w:tbl>
    <w:p/>
    <w:p/>
    <w:p>
      <w:r>
        <w:rPr>
          <w:rFonts w:ascii="Calibri" w:hAnsi="Calibri"/>
          <w:b w:val="0"/>
          <w:i w:val="0"/>
          <w:sz w:val="22"/>
        </w:rPr>
        <w:t>*Son güncelleme: taslak metin — Gündoğdu Kültür Merkezi demir + kalıp alt yüklenici işi.*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