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TAŞERONLAR ARASI SÖZLEŞME</w:t>
      </w:r>
    </w:p>
    <w:p>
      <w:pPr>
        <w:pStyle w:val="Heading1"/>
      </w:pPr>
      <w:r>
        <w:t>Demir (Donatı) İşçiliği ve Kalıp İşleri</w:t>
      </w:r>
    </w:p>
    <w:p>
      <w:r>
        <w:rPr>
          <w:rFonts w:ascii="Calibri" w:hAnsi="Calibri"/>
          <w:sz w:val="22"/>
        </w:rPr>
        <w:t xml:space="preserve">Sözleşme No: _______________  </w:t>
      </w:r>
    </w:p>
    <w:p>
      <w:r>
        <w:rPr>
          <w:rFonts w:ascii="Calibri" w:hAnsi="Calibri"/>
          <w:sz w:val="22"/>
        </w:rPr>
        <w:t xml:space="preserve">Tarih: ____ / ____ / 20____  </w:t>
      </w:r>
    </w:p>
    <w:p>
      <w:r>
        <w:rPr>
          <w:rFonts w:ascii="Calibri" w:hAnsi="Calibri"/>
          <w:sz w:val="22"/>
        </w:rPr>
        <w:t>Yer: _______________________</w:t>
      </w:r>
    </w:p>
    <w:p/>
    <w:p>
      <w:pPr>
        <w:pStyle w:val="Heading1"/>
      </w:pPr>
      <w:r>
        <w:t>TARAFLAR</w:t>
      </w:r>
    </w:p>
    <w:p>
      <w:r>
        <w:rPr>
          <w:rFonts w:ascii="Calibri" w:hAnsi="Calibri"/>
          <w:sz w:val="22"/>
        </w:rPr>
        <w:t xml:space="preserve">İŞVEREN (Alt işi devreden taşeron):  </w:t>
      </w:r>
    </w:p>
    <w:p>
      <w:r>
        <w:rPr>
          <w:rFonts w:ascii="Calibri" w:hAnsi="Calibri"/>
          <w:sz w:val="22"/>
        </w:rPr>
        <w:t xml:space="preserve">Unvan / Ad Soyad: _______________________________________________  </w:t>
      </w:r>
    </w:p>
    <w:p>
      <w:r>
        <w:rPr>
          <w:rFonts w:ascii="Calibri" w:hAnsi="Calibri"/>
          <w:sz w:val="22"/>
        </w:rPr>
        <w:t xml:space="preserve">Vergi Dairesi / VKN–TCKN: _________________________________________  </w:t>
      </w:r>
    </w:p>
    <w:p>
      <w:r>
        <w:rPr>
          <w:rFonts w:ascii="Calibri" w:hAnsi="Calibri"/>
          <w:sz w:val="22"/>
        </w:rPr>
        <w:t xml:space="preserve">Adres: ___________________________________________________________  </w:t>
      </w:r>
    </w:p>
    <w:p>
      <w:r>
        <w:rPr>
          <w:rFonts w:ascii="Calibri" w:hAnsi="Calibri"/>
          <w:sz w:val="22"/>
        </w:rPr>
        <w:t>Telefon / E-posta: ________________________________________________</w:t>
      </w:r>
    </w:p>
    <w:p>
      <w:r>
        <w:rPr>
          <w:rFonts w:ascii="Calibri" w:hAnsi="Calibri"/>
          <w:sz w:val="22"/>
        </w:rPr>
        <w:t xml:space="preserve">TAŞERON (Alt işi üstlenen taşeron):  </w:t>
      </w:r>
    </w:p>
    <w:p>
      <w:r>
        <w:rPr>
          <w:rFonts w:ascii="Calibri" w:hAnsi="Calibri"/>
          <w:sz w:val="22"/>
        </w:rPr>
        <w:t xml:space="preserve">Unvan / Ad Soyad: _______________________________________________  </w:t>
      </w:r>
    </w:p>
    <w:p>
      <w:r>
        <w:rPr>
          <w:rFonts w:ascii="Calibri" w:hAnsi="Calibri"/>
          <w:sz w:val="22"/>
        </w:rPr>
        <w:t xml:space="preserve">Vergi Dairesi / VKN–TCKN: _________________________________________  </w:t>
      </w:r>
    </w:p>
    <w:p>
      <w:r>
        <w:rPr>
          <w:rFonts w:ascii="Calibri" w:hAnsi="Calibri"/>
          <w:sz w:val="22"/>
        </w:rPr>
        <w:t xml:space="preserve">Adres: ___________________________________________________________  </w:t>
      </w:r>
    </w:p>
    <w:p>
      <w:r>
        <w:rPr>
          <w:rFonts w:ascii="Calibri" w:hAnsi="Calibri"/>
          <w:sz w:val="22"/>
        </w:rPr>
        <w:t xml:space="preserve">Telefon / E-posta: ________________________________________________  </w:t>
      </w:r>
    </w:p>
    <w:p>
      <w:r>
        <w:rPr>
          <w:rFonts w:ascii="Calibri" w:hAnsi="Calibri"/>
          <w:sz w:val="22"/>
        </w:rPr>
        <w:t>IBAN: _____________________________________________________________</w:t>
      </w:r>
    </w:p>
    <w:p/>
    <w:p>
      <w:pPr>
        <w:pStyle w:val="Heading1"/>
      </w:pPr>
      <w:r>
        <w:t>MADDE 1 — KONU</w:t>
      </w:r>
    </w:p>
    <w:p>
      <w:r>
        <w:rPr>
          <w:rFonts w:ascii="Calibri" w:hAnsi="Calibri"/>
          <w:sz w:val="22"/>
        </w:rPr>
        <w:t>İşbu sözleşmenin konusu; Kocaeli Büyükşehir Belediyesi Gündoğdu Kültür Merkezi projesinde, İŞVEREN’in ana yükleniciden/devraldığı kapsamda, TAŞERON’un demir (donatı) işçiliği ile kalıp imalat, montaj ve söküm işlerinin ifasıdır.</w:t>
      </w:r>
    </w:p>
    <w:p>
      <w:r>
        <w:rPr>
          <w:rFonts w:ascii="Calibri" w:hAnsi="Calibri"/>
          <w:sz w:val="22"/>
        </w:rPr>
        <w:t>İşin dayanağı: taraflarca imzalı Ek-1 Pafta Listesi ve güncel revizyonlar.</w:t>
      </w:r>
    </w:p>
    <w:p/>
    <w:p>
      <w:pPr>
        <w:pStyle w:val="Heading1"/>
      </w:pPr>
      <w:r>
        <w:t>MADDE 2 — KAPSAM</w:t>
      </w:r>
    </w:p>
    <w:p>
      <w:r>
        <w:rPr>
          <w:rFonts w:ascii="Calibri" w:hAnsi="Calibri"/>
          <w:sz w:val="22"/>
        </w:rPr>
        <w:t xml:space="preserve">2.1. TAŞERON’un ifa edeceği işler:  </w:t>
      </w:r>
    </w:p>
    <w:p>
      <w:pPr>
        <w:pStyle w:val="ListBullet"/>
      </w:pPr>
      <w:r>
        <w:t>Demir (donatı) işçiliği (kesim, büküm, yerleştirme, bağlama)</w:t>
      </w:r>
    </w:p>
    <w:p>
      <w:pPr>
        <w:pStyle w:val="ListBullet"/>
      </w:pPr>
      <w:r>
        <w:t>Kalıp işçiliği (imalat, montaj, söküm)</w:t>
      </w:r>
    </w:p>
    <w:p>
      <w:pPr>
        <w:pStyle w:val="ListBullet"/>
      </w:pPr>
      <w:r>
        <w:t>**Kalıp malzemesi** (birim fiyata dahildir)</w:t>
      </w:r>
    </w:p>
    <w:p>
      <w:r>
        <w:rPr>
          <w:rFonts w:ascii="Calibri" w:hAnsi="Calibri"/>
          <w:sz w:val="22"/>
        </w:rPr>
        <w:t xml:space="preserve">2.2. İŞVEREN’in temin edeceği kalemler (TAŞERON faturasına dahil değildir):  </w:t>
      </w:r>
    </w:p>
    <w:p>
      <w:pPr>
        <w:pStyle w:val="ListBullet"/>
      </w:pPr>
      <w:r>
        <w:t>**Demir (donatı) malzemesi** (nervürlü çelik, hasır, bağ teli vb.)</w:t>
      </w:r>
    </w:p>
    <w:p>
      <w:pPr>
        <w:pStyle w:val="ListBullet"/>
      </w:pPr>
      <w:r>
        <w:t>İskele / çalışma platformu</w:t>
      </w:r>
    </w:p>
    <w:p>
      <w:pPr>
        <w:pStyle w:val="ListBullet"/>
      </w:pPr>
      <w:r>
        <w:t>Beton, vinç, nakliye</w:t>
      </w:r>
    </w:p>
    <w:p>
      <w:r>
        <w:rPr>
          <w:rFonts w:ascii="Calibri" w:hAnsi="Calibri"/>
          <w:sz w:val="22"/>
        </w:rPr>
        <w:t>2.3. Projede tanımlı olmayan veya yazılı iş emri / ek protokol bulunmayan imalat TAŞERON’un yükümlülüğü dışındadır.</w:t>
      </w:r>
    </w:p>
    <w:p/>
    <w:p>
      <w:pPr>
        <w:pStyle w:val="Heading1"/>
      </w:pPr>
      <w:r>
        <w:t>MADDE 3 — BİRİM FİYAT VE ÖLÇÜ</w:t>
      </w:r>
    </w:p>
    <w:p>
      <w:r>
        <w:rPr>
          <w:rFonts w:ascii="Calibri" w:hAnsi="Calibri"/>
          <w:sz w:val="22"/>
        </w:rPr>
        <w:t xml:space="preserve">3.1. Birim fiyat: 1.950,00 TL / m² (KDV hariç).  </w:t>
      </w:r>
    </w:p>
    <w:p>
      <w:r>
        <w:rPr>
          <w:rFonts w:ascii="Calibri" w:hAnsi="Calibri"/>
          <w:sz w:val="22"/>
        </w:rPr>
        <w:t>Bu birim fiyat; demir işçiliği, kalıp işçiliği ve kalıp malzemesini kapsar.</w:t>
      </w:r>
    </w:p>
    <w:p>
      <w:r>
        <w:rPr>
          <w:rFonts w:ascii="Calibri" w:hAnsi="Calibri"/>
          <w:sz w:val="22"/>
        </w:rPr>
        <w:t>3.2. Ölçü yöntemi: Düz ölçü — onaylı projeye ve saha ölçümüne göre tespit edilen net kalıp yüzeyleri ile götürü birim fiyat uygulamasında aynı metraj cetveli esas alınır.</w:t>
      </w:r>
    </w:p>
    <w:p>
      <w:r>
        <w:rPr>
          <w:rFonts w:ascii="Calibri" w:hAnsi="Calibri"/>
          <w:sz w:val="22"/>
        </w:rPr>
        <w:t>3.3. Metraj; dönemsel hakediş tutanağı ile tespit edilir. Taraflar tutanağı imzalar. Metraj uyuşmazlığında iş durdurulabilir; uyuşmazlık Madde 9’a tabidir.</w:t>
      </w:r>
    </w:p>
    <w:p>
      <w:r>
        <w:rPr>
          <w:rFonts w:ascii="Calibri" w:hAnsi="Calibri"/>
          <w:sz w:val="22"/>
        </w:rPr>
        <w:t>3.4. Ek iş ve proje revizyonu: Ayrı yazılı onay ve birim fiyat / metraj ile hakedişe eklenir.</w:t>
      </w:r>
    </w:p>
    <w:p/>
    <w:p>
      <w:pPr>
        <w:pStyle w:val="Heading1"/>
      </w:pPr>
      <w:r>
        <w:t>MADDE 4 — SÜRE</w:t>
      </w:r>
    </w:p>
    <w:p>
      <w:r>
        <w:rPr>
          <w:rFonts w:ascii="Calibri" w:hAnsi="Calibri"/>
          <w:sz w:val="22"/>
        </w:rPr>
        <w:t xml:space="preserve">4.1. İşe başlama: ____ / ____ / 20____  </w:t>
      </w:r>
    </w:p>
    <w:p>
      <w:r>
        <w:rPr>
          <w:rFonts w:ascii="Calibri" w:hAnsi="Calibri"/>
          <w:sz w:val="22"/>
        </w:rPr>
        <w:t xml:space="preserve">4.2. İş bitiş: ____ / ____ / 20____  </w:t>
      </w:r>
    </w:p>
    <w:p>
      <w:r>
        <w:rPr>
          <w:rFonts w:ascii="Calibri" w:hAnsi="Calibri"/>
          <w:sz w:val="22"/>
        </w:rPr>
        <w:t>TAŞERON, İŞVEREN’in yazılı şantiye programına uyar.</w:t>
      </w:r>
    </w:p>
    <w:p/>
    <w:p>
      <w:pPr>
        <w:pStyle w:val="Heading1"/>
      </w:pPr>
      <w:r>
        <w:t>MADDE 5 — HAKEDİŞ VE ÖDEME</w:t>
      </w:r>
    </w:p>
    <w:p>
      <w:r>
        <w:rPr>
          <w:rFonts w:ascii="Calibri" w:hAnsi="Calibri"/>
          <w:sz w:val="22"/>
        </w:rPr>
        <w:t xml:space="preserve">5.1. Hakediş periyodu: _______________________ (ör. 15 gün / ay).  </w:t>
      </w:r>
    </w:p>
    <w:p>
      <w:r>
        <w:rPr>
          <w:rFonts w:ascii="Calibri" w:hAnsi="Calibri"/>
          <w:sz w:val="22"/>
        </w:rPr>
        <w:t xml:space="preserve">5.2. TAŞERON, onaylı metraj tutanağına istinaden e-Fatura / e-Arşiv düzenler.  </w:t>
      </w:r>
    </w:p>
    <w:p>
      <w:r>
        <w:rPr>
          <w:rFonts w:ascii="Calibri" w:hAnsi="Calibri"/>
          <w:sz w:val="22"/>
        </w:rPr>
        <w:t xml:space="preserve">5.3. Ödeme vadesi: Fatura tarihinden itibaren ____ gün içinde TAŞERON IBAN’ına ödenir.  </w:t>
      </w:r>
    </w:p>
    <w:p>
      <w:r>
        <w:rPr>
          <w:rFonts w:ascii="Calibri" w:hAnsi="Calibri"/>
          <w:sz w:val="22"/>
        </w:rPr>
        <w:t>5.4. Vadesinde ödenmeyen alacaklar için Türk Ticaret Kanunu hükümleri uyarınca temerrüt faizi uygulanır.</w:t>
      </w:r>
    </w:p>
    <w:p/>
    <w:p>
      <w:pPr>
        <w:pStyle w:val="Heading1"/>
      </w:pPr>
      <w:r>
        <w:t>MADDE 6 — VERGİ VE SGK</w:t>
      </w:r>
    </w:p>
    <w:p>
      <w:r>
        <w:rPr>
          <w:rFonts w:ascii="Calibri" w:hAnsi="Calibri"/>
          <w:sz w:val="22"/>
        </w:rPr>
        <w:t xml:space="preserve">6.1. Faturalarda yürürlükteki KDV ve yapım işlerine ilişkin tevkifat uygulanır.  </w:t>
      </w:r>
    </w:p>
    <w:p>
      <w:r>
        <w:rPr>
          <w:rFonts w:ascii="Calibri" w:hAnsi="Calibri"/>
          <w:sz w:val="22"/>
        </w:rPr>
        <w:t xml:space="preserve">6.2. TAŞERON, çalıştırdığı personelin SGK bildirim ve prim yükümlülüklerini yerine getirir.  </w:t>
      </w:r>
    </w:p>
    <w:p>
      <w:r>
        <w:rPr>
          <w:rFonts w:ascii="Calibri" w:hAnsi="Calibri"/>
          <w:sz w:val="22"/>
        </w:rPr>
        <w:t>6.3. TAŞERON, İŞVEREN’in yazılı onayı olmadan işi üçüncü kişiye devredemez.</w:t>
      </w:r>
    </w:p>
    <w:p/>
    <w:p>
      <w:pPr>
        <w:pStyle w:val="Heading1"/>
      </w:pPr>
      <w:r>
        <w:t>MADDE 7 — KALİTE VE KABUL</w:t>
      </w:r>
    </w:p>
    <w:p>
      <w:r>
        <w:rPr>
          <w:rFonts w:ascii="Calibri" w:hAnsi="Calibri"/>
          <w:sz w:val="22"/>
        </w:rPr>
        <w:t xml:space="preserve">7.1. İmalat, onaylı statik/mimari projelere ve İŞVEREN’in yazılı talimatlarına uygun yapılır.  </w:t>
      </w:r>
    </w:p>
    <w:p>
      <w:r>
        <w:rPr>
          <w:rFonts w:ascii="Calibri" w:hAnsi="Calibri"/>
          <w:sz w:val="22"/>
        </w:rPr>
        <w:t xml:space="preserve">7.2. Beton dökümünden önce donatı ve kalıp için saha kontrol tutanağı düzenlenir.  </w:t>
      </w:r>
    </w:p>
    <w:p>
      <w:r>
        <w:rPr>
          <w:rFonts w:ascii="Calibri" w:hAnsi="Calibri"/>
          <w:sz w:val="22"/>
        </w:rPr>
        <w:t>7.3. Ayıplı imalat, TAŞERON tarafından yazılı ihtara uygun sürede giderilir.</w:t>
      </w:r>
    </w:p>
    <w:p/>
    <w:p>
      <w:pPr>
        <w:pStyle w:val="Heading1"/>
      </w:pPr>
      <w:r>
        <w:t>MADDE 8 — FESİH</w:t>
      </w:r>
    </w:p>
    <w:p>
      <w:r>
        <w:rPr>
          <w:rFonts w:ascii="Calibri" w:hAnsi="Calibri"/>
          <w:sz w:val="22"/>
        </w:rPr>
        <w:t xml:space="preserve">8.1. Taraflardan birinin esaslı yükümlülük ihlali halinde karşı taraf ____ gün yazılı ihtar verir; giderilmezse sözleşme feshedilir.  </w:t>
      </w:r>
    </w:p>
    <w:p>
      <w:r>
        <w:rPr>
          <w:rFonts w:ascii="Calibri" w:hAnsi="Calibri"/>
          <w:sz w:val="22"/>
        </w:rPr>
        <w:t>8.2. Fesihte, tutanakla tespit edilmiş ve kabul edilmiş imalat bedeli 15 gün içinde ödenir.</w:t>
      </w:r>
    </w:p>
    <w:p/>
    <w:p>
      <w:pPr>
        <w:pStyle w:val="Heading1"/>
      </w:pPr>
      <w:r>
        <w:t>MADDE 9 — UYUŞMAZLIK</w:t>
      </w:r>
    </w:p>
    <w:p>
      <w:r>
        <w:rPr>
          <w:rFonts w:ascii="Calibri" w:hAnsi="Calibri"/>
          <w:sz w:val="22"/>
        </w:rPr>
        <w:t>İşbu sözleşmeden doğan uyuşmazlıklarda ______________________ Mahkemeleri ve ______________________ İcra Daireleri yetkilidir.</w:t>
      </w:r>
    </w:p>
    <w:p/>
    <w:p>
      <w:pPr>
        <w:pStyle w:val="Heading1"/>
      </w:pPr>
      <w:r>
        <w:t>MADDE 10 — EKLER VE YÜRÜRLÜK</w:t>
      </w:r>
    </w:p>
    <w:p>
      <w:r>
        <w:rPr>
          <w:rFonts w:ascii="Calibri" w:hAnsi="Calibri"/>
          <w:sz w:val="22"/>
        </w:rPr>
        <w:t xml:space="preserve">10.1. Ekler:  </w:t>
      </w:r>
    </w:p>
    <w:p>
      <w:pPr>
        <w:pStyle w:val="ListBullet"/>
      </w:pPr>
      <w:r>
        <w:t>**Ek-1:** Pafta listesi</w:t>
      </w:r>
    </w:p>
    <w:p>
      <w:pPr>
        <w:pStyle w:val="ListBullet"/>
      </w:pPr>
      <w:r>
        <w:t>**Ek-2:** Hakediş / metraj tutanağı örneği</w:t>
      </w:r>
    </w:p>
    <w:p>
      <w:r>
        <w:rPr>
          <w:rFonts w:ascii="Calibri" w:hAnsi="Calibri"/>
          <w:sz w:val="22"/>
        </w:rPr>
        <w:t>10.2. Sözleşme 2 (iki) nüsha düzenlenmiş olup imza tarihinde yürürlüğe girer.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İŞVEREN</w:t>
            </w:r>
          </w:p>
        </w:tc>
        <w:tc>
          <w:tcPr>
            <w:tcW w:type="dxa" w:w="4703"/>
          </w:tcPr>
          <w:p>
            <w:r>
              <w:t>TAŞERON</w:t>
            </w:r>
          </w:p>
        </w:tc>
      </w:tr>
      <w:tr>
        <w:tc>
          <w:tcPr>
            <w:tcW w:type="dxa" w:w="4703"/>
          </w:tcPr>
          <w:p>
            <w:r>
              <w:t>Ad / Unvan:</w:t>
            </w:r>
          </w:p>
        </w:tc>
        <w:tc>
          <w:tcPr>
            <w:tcW w:type="dxa" w:w="4703"/>
          </w:tcPr>
          <w:p>
            <w:r>
              <w:t>Ad / Unvan:</w:t>
            </w:r>
          </w:p>
        </w:tc>
      </w:tr>
      <w:tr>
        <w:tc>
          <w:tcPr>
            <w:tcW w:type="dxa" w:w="4703"/>
          </w:tcPr>
          <w:p>
            <w:r>
              <w:t>İmza / Kaşe:</w:t>
            </w:r>
          </w:p>
        </w:tc>
        <w:tc>
          <w:tcPr>
            <w:tcW w:type="dxa" w:w="4703"/>
          </w:tcPr>
          <w:p>
            <w:r>
              <w:t>İmza / Kaşe:</w:t>
            </w:r>
          </w:p>
        </w:tc>
      </w:tr>
      <w:tr>
        <w:tc>
          <w:tcPr>
            <w:tcW w:type="dxa" w:w="4703"/>
          </w:tcPr>
          <w:p>
            <w:r>
              <w:t>Tarih:</w:t>
            </w:r>
          </w:p>
        </w:tc>
        <w:tc>
          <w:tcPr>
            <w:tcW w:type="dxa" w:w="4703"/>
          </w:tcPr>
          <w:p>
            <w:r>
              <w:t>Tarih: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