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智慧车辆运营管理系统需求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产品说明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1.1 </w:t>
      </w:r>
      <w:r>
        <w:rPr>
          <w:rFonts w:eastAsia="等线" w:ascii="Arial" w:cs="Arial" w:hAnsi="Arial"/>
          <w:b w:val="true"/>
          <w:sz w:val="32"/>
        </w:rPr>
        <w:t>背景</w:t>
      </w:r>
      <w:bookmarkEnd w:id="1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我们为什么要建设这个系统呢？这个系统的需求来源是什么？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新能源汽车的普及，催生了大量相关业务，例如新能源出租、新能源公交、新能源物流运输等，基于这些新的业务，产生了对新能源汽车充电和车辆管理新的需求，此时，车辆运营公司需要建立对应的车辆运营信息化系统。通过该系统实现车辆的使用和智慧调度，规范车辆的管理流程，打通和充电运营商的数据对接，加强企业对车辆精细化运营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1.2 </w:t>
      </w:r>
      <w:r>
        <w:rPr>
          <w:rFonts w:eastAsia="等线" w:ascii="Arial" w:cs="Arial" w:hAnsi="Arial"/>
          <w:b w:val="true"/>
          <w:sz w:val="32"/>
        </w:rPr>
        <w:t>开发目的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主要目的是实现企业对车辆信息以及车辆使用人员的管理，车辆的调度管理，记录车辆运行的路线，监控车辆的实时状态，以及车辆的充电费用情况，并对有关车辆的数据进行统计分析，做到对车辆的有效利用和使用成本的有效控制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面向的用户角色</w:t>
      </w:r>
      <w:bookmarkEnd w:id="3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这里要描述本产品面向的用户（客户、最终用户）的特征，说明本产品将给他们带来什么好处，解决什么问题？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2.1 </w:t>
      </w:r>
      <w:r>
        <w:rPr>
          <w:rFonts w:eastAsia="等线" w:ascii="Arial" w:cs="Arial" w:hAnsi="Arial"/>
          <w:b w:val="true"/>
          <w:sz w:val="32"/>
        </w:rPr>
        <w:t>平台用户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智慧充电云平台管理员：对接企业，为企业开通账号。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2.2 </w:t>
      </w:r>
      <w:r>
        <w:rPr>
          <w:rFonts w:eastAsia="等线" w:ascii="Arial" w:cs="Arial" w:hAnsi="Arial"/>
          <w:b w:val="true"/>
          <w:sz w:val="32"/>
        </w:rPr>
        <w:t>企业用户</w:t>
      </w:r>
      <w:bookmarkEnd w:id="5"/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车辆运营企业的管理员：充电云平台分配给客户的一个系统超级管理员账号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车辆运营企业企业员工：主要是企业用车员工，登录系统进行车辆使用申请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车辆运营企业财务人员：主要查看车辆使用相关订单信息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车辆运营企业审批人员：车辆使用申请各个审批节点的人员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车辆运营企业车辆管理人员：车辆信息的查看、车辆年检、维修保养、保险、违章和事故处理等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产品功能性需求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产品的整体业务功能如下：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811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产品整体业务流程说明：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系统管理员账号由云平台提供，账号绑定合作企业的身份编码。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大客户系统由平台分配的企业级管理员来做管理和配置。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各个企业级客户的数据通过身份编码做逻辑隔离。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3625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>原型参考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http://dev.vehicle.p.yufeiworld.com/login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员工管理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大客户系统的员工即属于企业，也属于平台的车主用户，可以使用平台的客户端充电APP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3.2.1 </w:t>
      </w:r>
      <w:r>
        <w:rPr>
          <w:rFonts w:eastAsia="等线" w:ascii="Arial" w:cs="Arial" w:hAnsi="Arial"/>
          <w:b w:val="true"/>
          <w:sz w:val="30"/>
        </w:rPr>
        <w:t>用户登录</w:t>
      </w:r>
      <w:bookmarkEnd w:id="9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企业管理员登录（账号《邮箱/手机号》、密码登录）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企业员工登录（支持手机号登录）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3.2.2 </w:t>
      </w:r>
      <w:r>
        <w:rPr>
          <w:rFonts w:eastAsia="等线" w:ascii="Arial" w:cs="Arial" w:hAnsi="Arial"/>
          <w:b w:val="true"/>
          <w:sz w:val="30"/>
        </w:rPr>
        <w:t>组织管理</w:t>
      </w:r>
      <w:bookmarkEnd w:id="10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支持最多企业三级组织架构《总部、子公司、部门》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3.2.3 </w:t>
      </w:r>
      <w:r>
        <w:rPr>
          <w:rFonts w:eastAsia="等线" w:ascii="Arial" w:cs="Arial" w:hAnsi="Arial"/>
          <w:b w:val="true"/>
          <w:sz w:val="30"/>
        </w:rPr>
        <w:t>权限配置</w:t>
      </w:r>
      <w:bookmarkEnd w:id="11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功能权限：菜单级别权限，基于RBAC模型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数据权限：企业间数据逻辑隔离，同一个企业数据公司、部门、本人可见三级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3.2.4 </w:t>
      </w:r>
      <w:r>
        <w:rPr>
          <w:rFonts w:eastAsia="等线" w:ascii="Arial" w:cs="Arial" w:hAnsi="Arial"/>
          <w:b w:val="true"/>
          <w:sz w:val="30"/>
        </w:rPr>
        <w:t>用户管理</w:t>
      </w:r>
      <w:bookmarkEnd w:id="12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员工基本信息的增删改查，账号状态的修改（启用、禁用）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3.2.5 </w:t>
      </w:r>
      <w:r>
        <w:rPr>
          <w:rFonts w:eastAsia="等线" w:ascii="Arial" w:cs="Arial" w:hAnsi="Arial"/>
          <w:b w:val="true"/>
          <w:sz w:val="30"/>
        </w:rPr>
        <w:t>密码设置</w:t>
      </w:r>
      <w:bookmarkEnd w:id="13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普通用户首次登陆，修改密码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系统管理员可以重置密码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普通用户登录之后可以修改密码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>车辆管理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车辆基础信息的录入、修改、查看、删除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3.3.1 </w:t>
      </w:r>
      <w:r>
        <w:rPr>
          <w:rFonts w:eastAsia="等线" w:ascii="Arial" w:cs="Arial" w:hAnsi="Arial"/>
          <w:b w:val="true"/>
          <w:sz w:val="30"/>
        </w:rPr>
        <w:t>车辆信息录入</w:t>
      </w:r>
      <w:bookmarkEnd w:id="15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车辆品牌、车辆型号、车辆识别码（vin）、车辆排量、车辆类型、车身颜色、里程数、上牌时间、购买时间、购买价格、电池类型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3.3.2 </w:t>
      </w:r>
      <w:r>
        <w:rPr>
          <w:rFonts w:eastAsia="等线" w:ascii="Arial" w:cs="Arial" w:hAnsi="Arial"/>
          <w:b w:val="true"/>
          <w:sz w:val="30"/>
        </w:rPr>
        <w:t>保险信息录入</w:t>
      </w:r>
      <w:bookmarkEnd w:id="16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保险单号、保险公司、保险费用、投保时间、保险期限、投保人、被保险人、保险联系人、保险车辆、保险类型、保险状态（到期、未到期）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3.3.3 </w:t>
      </w:r>
      <w:r>
        <w:rPr>
          <w:rFonts w:eastAsia="等线" w:ascii="Arial" w:cs="Arial" w:hAnsi="Arial"/>
          <w:b w:val="true"/>
          <w:sz w:val="30"/>
        </w:rPr>
        <w:t>年检信息录入</w:t>
      </w:r>
      <w:bookmarkEnd w:id="17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年检证书编号、有效期、年检年度、年检时间、年检项目、年检费用、年检地点、年检车辆、送检人员、年检状态（通过、未通过）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color w:val="3370ff"/>
          <w:sz w:val="30"/>
        </w:rPr>
        <w:t xml:space="preserve">3.3.4 </w:t>
      </w:r>
      <w:r>
        <w:rPr>
          <w:rFonts w:eastAsia="等线" w:ascii="Arial" w:cs="Arial" w:hAnsi="Arial"/>
          <w:b w:val="true"/>
          <w:sz w:val="30"/>
        </w:rPr>
        <w:t>维修信息录入</w:t>
      </w:r>
      <w:bookmarkEnd w:id="18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维修项目、维修车辆、维修人员、维修地点、维修时间、维修费用、维修情况、维修材料、送修人员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color w:val="3370ff"/>
          <w:sz w:val="32"/>
        </w:rPr>
        <w:t xml:space="preserve">3.4 </w:t>
      </w:r>
      <w:r>
        <w:rPr>
          <w:rFonts w:eastAsia="等线" w:ascii="Arial" w:cs="Arial" w:hAnsi="Arial"/>
          <w:b w:val="true"/>
          <w:sz w:val="32"/>
        </w:rPr>
        <w:t>调度管理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引入简单审批流程，用于车辆调用的审批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color w:val="3370ff"/>
          <w:sz w:val="30"/>
        </w:rPr>
        <w:t xml:space="preserve">3.4.1 </w:t>
      </w:r>
      <w:r>
        <w:rPr>
          <w:rFonts w:eastAsia="等线" w:ascii="Arial" w:cs="Arial" w:hAnsi="Arial"/>
          <w:b w:val="true"/>
          <w:sz w:val="30"/>
        </w:rPr>
        <w:t>用车审批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526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申请单：开始时间、结束时间、目的地、用车事由、用车人、驾照、审批人、备注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审批人可以选择多个，选择几个审批人就生成几条审批记录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选择的审批人中，只要有一人驳回，整个审批就不通过，否则审批即为通过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审批记录的审核状态：审核中、待我审批、通过、驳回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申请单的状态：待审、通过、驳回、撤销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申请单和审批记录的数据必须同时生成，满足事务性，否则数据将会出现错误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color w:val="3370ff"/>
          <w:sz w:val="30"/>
        </w:rPr>
        <w:t xml:space="preserve">3.4.2 </w:t>
      </w:r>
      <w:r>
        <w:rPr>
          <w:rFonts w:eastAsia="等线" w:ascii="Arial" w:cs="Arial" w:hAnsi="Arial"/>
          <w:b w:val="true"/>
          <w:sz w:val="30"/>
        </w:rPr>
        <w:t>出入登记</w:t>
      </w:r>
      <w:bookmarkEnd w:id="21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在车辆停车点设置电子围栏，车辆出入触发告警，记录当前时间和车牌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车辆停车点出入口设置道闸，进出停车点都由道闸推送出入记录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登记信息：车牌号、时间、地点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color w:val="3370ff"/>
          <w:sz w:val="32"/>
        </w:rPr>
        <w:t xml:space="preserve">3.5 </w:t>
      </w:r>
      <w:r>
        <w:rPr>
          <w:rFonts w:eastAsia="等线" w:ascii="Arial" w:cs="Arial" w:hAnsi="Arial"/>
          <w:b w:val="true"/>
          <w:sz w:val="32"/>
        </w:rPr>
        <w:t>车辆跟踪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基于百度或者高德地图的开放平台提供的API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车主通过手机或者车载系统，上报经纬度定位信息，后台可以实时跟踪车辆轨迹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color w:val="3370ff"/>
          <w:sz w:val="30"/>
        </w:rPr>
        <w:t xml:space="preserve">3.5.1 </w:t>
      </w:r>
      <w:r>
        <w:rPr>
          <w:rFonts w:eastAsia="等线" w:ascii="Arial" w:cs="Arial" w:hAnsi="Arial"/>
          <w:b w:val="true"/>
          <w:sz w:val="30"/>
        </w:rPr>
        <w:t>实时定位</w:t>
      </w:r>
      <w:bookmarkEnd w:id="23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车辆安装GPS定位设备，位置信息发给车载通讯设备，这些信息再通过网络上传到云端或者监控中心，车辆位置与地图相结合就产生实时定位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地图智能硬件定位API和移动端SDK定位，都可以实现当前地理位置的获取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color w:val="3370ff"/>
          <w:sz w:val="30"/>
        </w:rPr>
        <w:t xml:space="preserve">3.5.2 </w:t>
      </w:r>
      <w:r>
        <w:rPr>
          <w:rFonts w:eastAsia="等线" w:ascii="Arial" w:cs="Arial" w:hAnsi="Arial"/>
          <w:b w:val="true"/>
          <w:sz w:val="30"/>
        </w:rPr>
        <w:t>车辆监控</w:t>
      </w:r>
      <w:bookmarkEnd w:id="24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通过车载地图，监控车辆的位置、车辆速度、行驶路线等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通过车辆的OBD接口，可以获取新能源车的当前BMS系统数据（剩余电量等），监控车辆预计的剩余运行里程，推荐附近的充电站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实时位置查询，通过车辆信息（车牌号），地图上展示当前位置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color w:val="3370ff"/>
          <w:sz w:val="30"/>
        </w:rPr>
        <w:t xml:space="preserve">3.5.3 </w:t>
      </w:r>
      <w:r>
        <w:rPr>
          <w:rFonts w:eastAsia="等线" w:ascii="Arial" w:cs="Arial" w:hAnsi="Arial"/>
          <w:b w:val="true"/>
          <w:sz w:val="30"/>
        </w:rPr>
        <w:t>行驶轨迹</w:t>
      </w:r>
      <w:bookmarkEnd w:id="25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轨迹回放，地图一般存放1年的车辆轨迹数据，可以批量下载企业的车辆轨迹数据到企业服务器存放，通过起始时间和结束时间查询车辆一段时间内的运行轨迹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查询里程，通过车牌号、起始时间、结束时间查询一段时间内的行驶里程数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color w:val="3370ff"/>
          <w:sz w:val="32"/>
        </w:rPr>
        <w:t xml:space="preserve">3.6 </w:t>
      </w:r>
      <w:r>
        <w:rPr>
          <w:rFonts w:eastAsia="等线" w:ascii="Arial" w:cs="Arial" w:hAnsi="Arial"/>
          <w:b w:val="true"/>
          <w:sz w:val="32"/>
        </w:rPr>
        <w:t>电子围栏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一个虚拟的地理范围围栏，自动判断车辆是否进出围栏，并实时推送报警信息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color w:val="3370ff"/>
          <w:sz w:val="30"/>
        </w:rPr>
        <w:t xml:space="preserve">3.6.1 </w:t>
      </w:r>
      <w:r>
        <w:rPr>
          <w:rFonts w:eastAsia="等线" w:ascii="Arial" w:cs="Arial" w:hAnsi="Arial"/>
          <w:b w:val="true"/>
          <w:sz w:val="30"/>
        </w:rPr>
        <w:t>围栏配置</w:t>
      </w:r>
      <w:bookmarkEnd w:id="27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圆形和多边形围栏：车辆是否进出圆形或者多边形范围内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路线围栏：车辆是否偏离设定路线一定距离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color w:val="3370ff"/>
          <w:sz w:val="30"/>
        </w:rPr>
        <w:t xml:space="preserve">3.6.2 </w:t>
      </w:r>
      <w:r>
        <w:rPr>
          <w:rFonts w:eastAsia="等线" w:ascii="Arial" w:cs="Arial" w:hAnsi="Arial"/>
          <w:b w:val="true"/>
          <w:sz w:val="30"/>
        </w:rPr>
        <w:t>告警记录</w:t>
      </w:r>
      <w:bookmarkEnd w:id="28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运营车辆的区域监控，设置运营区域围栏后，车辆进出都会报警，报警信息可以记录到企业服务端，地图服务只保存7天的报警信息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历史报警信息查询，查询某个时间段内的报警信息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color w:val="3370ff"/>
          <w:sz w:val="32"/>
        </w:rPr>
        <w:t xml:space="preserve">3.7 </w:t>
      </w:r>
      <w:r>
        <w:rPr>
          <w:rFonts w:eastAsia="等线" w:ascii="Arial" w:cs="Arial" w:hAnsi="Arial"/>
          <w:b w:val="true"/>
          <w:sz w:val="32"/>
        </w:rPr>
        <w:t>合约管理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主要展示与充电平台签订的充电服务合同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color w:val="3370ff"/>
          <w:sz w:val="30"/>
        </w:rPr>
        <w:t xml:space="preserve">3.7.1 </w:t>
      </w:r>
      <w:r>
        <w:rPr>
          <w:rFonts w:eastAsia="等线" w:ascii="Arial" w:cs="Arial" w:hAnsi="Arial"/>
          <w:b w:val="true"/>
          <w:sz w:val="30"/>
        </w:rPr>
        <w:t>合同列表</w:t>
      </w:r>
      <w:bookmarkEnd w:id="30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合同签订时间、期限、合作企业、服务价格、服务范围、联系人等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color w:val="3370ff"/>
          <w:sz w:val="32"/>
        </w:rPr>
        <w:t xml:space="preserve">3.8 </w:t>
      </w:r>
      <w:r>
        <w:rPr>
          <w:rFonts w:eastAsia="等线" w:ascii="Arial" w:cs="Arial" w:hAnsi="Arial"/>
          <w:b w:val="true"/>
          <w:sz w:val="32"/>
        </w:rPr>
        <w:t>订单管理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根据合同产生的充电订单，主要是充电云平台推送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color w:val="3370ff"/>
          <w:sz w:val="30"/>
        </w:rPr>
        <w:t xml:space="preserve">3.8.1 </w:t>
      </w:r>
      <w:r>
        <w:rPr>
          <w:rFonts w:eastAsia="等线" w:ascii="Arial" w:cs="Arial" w:hAnsi="Arial"/>
          <w:b w:val="true"/>
          <w:sz w:val="30"/>
        </w:rPr>
        <w:t>订单列表</w:t>
      </w:r>
      <w:bookmarkEnd w:id="32"/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记录运营车辆充电信息，订单号、充电时长、开始和结束时间、费用、充电站、车辆、车主、状态（结算/未结算）、结算时间等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color w:val="3370ff"/>
          <w:sz w:val="32"/>
        </w:rPr>
        <w:t xml:space="preserve">3.9 </w:t>
      </w:r>
      <w:r>
        <w:rPr>
          <w:rFonts w:eastAsia="等线" w:ascii="Arial" w:cs="Arial" w:hAnsi="Arial"/>
          <w:b w:val="true"/>
          <w:sz w:val="32"/>
        </w:rPr>
        <w:t>统计报表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用于车辆运营情况的数据化分析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color w:val="3370ff"/>
          <w:sz w:val="30"/>
        </w:rPr>
        <w:t xml:space="preserve">3.9.1 </w:t>
      </w:r>
      <w:r>
        <w:rPr>
          <w:rFonts w:eastAsia="等线" w:ascii="Arial" w:cs="Arial" w:hAnsi="Arial"/>
          <w:b w:val="true"/>
          <w:sz w:val="30"/>
        </w:rPr>
        <w:t>充电费用报表</w:t>
      </w:r>
      <w:bookmarkEnd w:id="34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根据充电订单形成的充电费用统计，统计维度，以车辆维度统计单日、月度、季度、年度的充电消费情况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统计所有运营车辆的单日、月度、季度、年度的消费情况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color w:val="3370ff"/>
          <w:sz w:val="30"/>
        </w:rPr>
        <w:t xml:space="preserve">3.9.2 </w:t>
      </w:r>
      <w:r>
        <w:rPr>
          <w:rFonts w:eastAsia="等线" w:ascii="Arial" w:cs="Arial" w:hAnsi="Arial"/>
          <w:b w:val="true"/>
          <w:sz w:val="30"/>
        </w:rPr>
        <w:t>出车次数报表</w:t>
      </w:r>
      <w:bookmarkEnd w:id="35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车辆维度统计：单日、月度、季度、年度车辆运行里程数和出车次数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时间维度统计：单日、月度、季度、年度所有运营车辆运行里程数和出车次数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color w:val="3370ff"/>
          <w:sz w:val="30"/>
        </w:rPr>
        <w:t xml:space="preserve">3.9.3 </w:t>
      </w:r>
      <w:r>
        <w:rPr>
          <w:rFonts w:eastAsia="等线" w:ascii="Arial" w:cs="Arial" w:hAnsi="Arial"/>
          <w:b w:val="true"/>
          <w:sz w:val="30"/>
        </w:rPr>
        <w:t>违章情况报表</w:t>
      </w:r>
      <w:bookmarkEnd w:id="36"/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车主违章次数统计、车辆扣分情况统计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运营车辆月度、季度、年度违章次数统计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color w:val="3370ff"/>
          <w:sz w:val="30"/>
        </w:rPr>
        <w:t xml:space="preserve">3.9.4 </w:t>
      </w:r>
      <w:r>
        <w:rPr>
          <w:rFonts w:eastAsia="等线" w:ascii="Arial" w:cs="Arial" w:hAnsi="Arial"/>
          <w:b w:val="true"/>
          <w:sz w:val="30"/>
        </w:rPr>
        <w:t>维修费用报表</w:t>
      </w:r>
      <w:bookmarkEnd w:id="37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运营车辆维保费用统计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时间维度统计运营车辆维保次数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color w:val="3370ff"/>
          <w:sz w:val="30"/>
        </w:rPr>
        <w:t xml:space="preserve">3.9.5 </w:t>
      </w:r>
      <w:r>
        <w:rPr>
          <w:rFonts w:eastAsia="等线" w:ascii="Arial" w:cs="Arial" w:hAnsi="Arial"/>
          <w:b w:val="true"/>
          <w:sz w:val="30"/>
        </w:rPr>
        <w:t>年检费用报表</w:t>
      </w:r>
      <w:bookmarkEnd w:id="38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车辆年检费用统计，以年为单位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车辆投保费用统计，以年为单位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9" w:id="39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产品非功能需求</w:t>
      </w:r>
      <w:bookmarkEnd w:id="39"/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系统的访问量和并发性并不高，主要是保证系统的稳定性，以及客户体验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系统数据安全上，因为企业间数据采用逻辑隔离，在具体的实现逻辑上要防止隔离失效，注入攻击、请求伪造攻击等，确保企业只能访问自己的数据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系统的部署上，采用服务集群部署，但共享数据库，数据库采用主备模式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4090">
    <w:lvl>
      <w:numFmt w:val="bullet"/>
      <w:suff w:val="tab"/>
      <w:lvlText w:val="•"/>
      <w:rPr>
        <w:color w:val="3370ff"/>
      </w:rPr>
    </w:lvl>
  </w:abstractNum>
  <w:abstractNum w:abstractNumId="114091">
    <w:lvl>
      <w:numFmt w:val="bullet"/>
      <w:suff w:val="tab"/>
      <w:lvlText w:val="•"/>
      <w:rPr>
        <w:color w:val="3370ff"/>
      </w:rPr>
    </w:lvl>
  </w:abstractNum>
  <w:abstractNum w:abstractNumId="114092">
    <w:lvl>
      <w:numFmt w:val="bullet"/>
      <w:suff w:val="tab"/>
      <w:lvlText w:val="•"/>
      <w:rPr>
        <w:color w:val="3370ff"/>
      </w:rPr>
    </w:lvl>
  </w:abstractNum>
  <w:abstractNum w:abstractNumId="114093">
    <w:lvl>
      <w:numFmt w:val="bullet"/>
      <w:suff w:val="tab"/>
      <w:lvlText w:val="•"/>
      <w:rPr>
        <w:color w:val="3370ff"/>
      </w:rPr>
    </w:lvl>
  </w:abstractNum>
  <w:abstractNum w:abstractNumId="114094">
    <w:lvl>
      <w:numFmt w:val="bullet"/>
      <w:suff w:val="tab"/>
      <w:lvlText w:val="•"/>
      <w:rPr>
        <w:color w:val="3370ff"/>
      </w:rPr>
    </w:lvl>
  </w:abstractNum>
  <w:abstractNum w:abstractNumId="114095">
    <w:lvl>
      <w:numFmt w:val="bullet"/>
      <w:suff w:val="tab"/>
      <w:lvlText w:val="•"/>
      <w:rPr>
        <w:color w:val="3370ff"/>
      </w:rPr>
    </w:lvl>
  </w:abstractNum>
  <w:abstractNum w:abstractNumId="114096">
    <w:lvl>
      <w:numFmt w:val="bullet"/>
      <w:suff w:val="tab"/>
      <w:lvlText w:val="•"/>
      <w:rPr>
        <w:color w:val="3370ff"/>
      </w:rPr>
    </w:lvl>
  </w:abstractNum>
  <w:abstractNum w:abstractNumId="114097">
    <w:lvl>
      <w:numFmt w:val="bullet"/>
      <w:suff w:val="tab"/>
      <w:lvlText w:val="•"/>
      <w:rPr>
        <w:color w:val="3370ff"/>
      </w:rPr>
    </w:lvl>
  </w:abstractNum>
  <w:abstractNum w:abstractNumId="114098">
    <w:lvl>
      <w:numFmt w:val="bullet"/>
      <w:suff w:val="tab"/>
      <w:lvlText w:val="•"/>
      <w:rPr>
        <w:color w:val="3370ff"/>
      </w:rPr>
    </w:lvl>
  </w:abstractNum>
  <w:abstractNum w:abstractNumId="114099">
    <w:lvl>
      <w:numFmt w:val="bullet"/>
      <w:suff w:val="tab"/>
      <w:lvlText w:val="•"/>
      <w:rPr>
        <w:color w:val="3370ff"/>
      </w:rPr>
    </w:lvl>
  </w:abstractNum>
  <w:abstractNum w:abstractNumId="114100">
    <w:lvl>
      <w:numFmt w:val="bullet"/>
      <w:suff w:val="tab"/>
      <w:lvlText w:val="•"/>
      <w:rPr>
        <w:color w:val="3370ff"/>
      </w:rPr>
    </w:lvl>
  </w:abstractNum>
  <w:abstractNum w:abstractNumId="114101">
    <w:lvl>
      <w:numFmt w:val="bullet"/>
      <w:suff w:val="tab"/>
      <w:lvlText w:val="•"/>
      <w:rPr>
        <w:color w:val="3370ff"/>
      </w:rPr>
    </w:lvl>
  </w:abstractNum>
  <w:abstractNum w:abstractNumId="114102">
    <w:lvl>
      <w:numFmt w:val="bullet"/>
      <w:suff w:val="tab"/>
      <w:lvlText w:val="•"/>
      <w:rPr>
        <w:color w:val="3370ff"/>
      </w:rPr>
    </w:lvl>
  </w:abstractNum>
  <w:abstractNum w:abstractNumId="114103">
    <w:lvl>
      <w:numFmt w:val="bullet"/>
      <w:suff w:val="tab"/>
      <w:lvlText w:val="•"/>
      <w:rPr>
        <w:color w:val="3370ff"/>
      </w:rPr>
    </w:lvl>
  </w:abstractNum>
  <w:abstractNum w:abstractNumId="114104">
    <w:lvl>
      <w:numFmt w:val="bullet"/>
      <w:suff w:val="tab"/>
      <w:lvlText w:val="•"/>
      <w:rPr>
        <w:color w:val="3370ff"/>
      </w:rPr>
    </w:lvl>
  </w:abstractNum>
  <w:abstractNum w:abstractNumId="114105">
    <w:lvl>
      <w:numFmt w:val="bullet"/>
      <w:suff w:val="tab"/>
      <w:lvlText w:val="•"/>
      <w:rPr>
        <w:color w:val="3370ff"/>
      </w:rPr>
    </w:lvl>
  </w:abstractNum>
  <w:abstractNum w:abstractNumId="114106">
    <w:lvl>
      <w:numFmt w:val="bullet"/>
      <w:suff w:val="tab"/>
      <w:lvlText w:val="•"/>
      <w:rPr>
        <w:color w:val="3370ff"/>
      </w:rPr>
    </w:lvl>
  </w:abstractNum>
  <w:abstractNum w:abstractNumId="114107">
    <w:lvl>
      <w:numFmt w:val="bullet"/>
      <w:suff w:val="tab"/>
      <w:lvlText w:val="•"/>
      <w:rPr>
        <w:color w:val="3370ff"/>
      </w:rPr>
    </w:lvl>
  </w:abstractNum>
  <w:abstractNum w:abstractNumId="114108">
    <w:lvl>
      <w:numFmt w:val="bullet"/>
      <w:suff w:val="tab"/>
      <w:lvlText w:val="•"/>
      <w:rPr>
        <w:color w:val="3370ff"/>
      </w:rPr>
    </w:lvl>
  </w:abstractNum>
  <w:abstractNum w:abstractNumId="114109">
    <w:lvl>
      <w:numFmt w:val="bullet"/>
      <w:suff w:val="tab"/>
      <w:lvlText w:val="•"/>
      <w:rPr>
        <w:color w:val="3370ff"/>
      </w:rPr>
    </w:lvl>
  </w:abstractNum>
  <w:abstractNum w:abstractNumId="114110">
    <w:lvl>
      <w:numFmt w:val="bullet"/>
      <w:suff w:val="tab"/>
      <w:lvlText w:val="•"/>
      <w:rPr>
        <w:color w:val="3370ff"/>
      </w:rPr>
    </w:lvl>
  </w:abstractNum>
  <w:abstractNum w:abstractNumId="114111">
    <w:lvl>
      <w:numFmt w:val="bullet"/>
      <w:suff w:val="tab"/>
      <w:lvlText w:val="•"/>
      <w:rPr>
        <w:color w:val="3370ff"/>
      </w:rPr>
    </w:lvl>
  </w:abstractNum>
  <w:abstractNum w:abstractNumId="114112">
    <w:lvl>
      <w:numFmt w:val="bullet"/>
      <w:suff w:val="tab"/>
      <w:lvlText w:val="•"/>
      <w:rPr>
        <w:color w:val="3370ff"/>
      </w:rPr>
    </w:lvl>
  </w:abstractNum>
  <w:abstractNum w:abstractNumId="114113">
    <w:lvl>
      <w:numFmt w:val="bullet"/>
      <w:suff w:val="tab"/>
      <w:lvlText w:val="•"/>
      <w:rPr>
        <w:color w:val="3370ff"/>
      </w:rPr>
    </w:lvl>
  </w:abstractNum>
  <w:abstractNum w:abstractNumId="114114">
    <w:lvl>
      <w:numFmt w:val="bullet"/>
      <w:suff w:val="tab"/>
      <w:lvlText w:val="•"/>
      <w:rPr>
        <w:color w:val="3370ff"/>
      </w:rPr>
    </w:lvl>
  </w:abstractNum>
  <w:abstractNum w:abstractNumId="114115">
    <w:lvl>
      <w:numFmt w:val="bullet"/>
      <w:suff w:val="tab"/>
      <w:lvlText w:val="•"/>
      <w:rPr>
        <w:color w:val="3370ff"/>
      </w:rPr>
    </w:lvl>
  </w:abstractNum>
  <w:abstractNum w:abstractNumId="114116">
    <w:lvl>
      <w:numFmt w:val="bullet"/>
      <w:suff w:val="tab"/>
      <w:lvlText w:val="•"/>
      <w:rPr>
        <w:color w:val="3370ff"/>
      </w:rPr>
    </w:lvl>
  </w:abstractNum>
  <w:abstractNum w:abstractNumId="114117">
    <w:lvl>
      <w:numFmt w:val="bullet"/>
      <w:suff w:val="tab"/>
      <w:lvlText w:val="•"/>
      <w:rPr>
        <w:color w:val="3370ff"/>
      </w:rPr>
    </w:lvl>
  </w:abstractNum>
  <w:abstractNum w:abstractNumId="114118">
    <w:lvl>
      <w:numFmt w:val="bullet"/>
      <w:suff w:val="tab"/>
      <w:lvlText w:val="•"/>
      <w:rPr>
        <w:color w:val="3370ff"/>
      </w:rPr>
    </w:lvl>
  </w:abstractNum>
  <w:abstractNum w:abstractNumId="114119">
    <w:lvl>
      <w:numFmt w:val="bullet"/>
      <w:suff w:val="tab"/>
      <w:lvlText w:val="•"/>
      <w:rPr>
        <w:color w:val="3370ff"/>
      </w:rPr>
    </w:lvl>
  </w:abstractNum>
  <w:abstractNum w:abstractNumId="114120">
    <w:lvl>
      <w:numFmt w:val="bullet"/>
      <w:suff w:val="tab"/>
      <w:lvlText w:val="•"/>
      <w:rPr>
        <w:color w:val="3370ff"/>
      </w:rPr>
    </w:lvl>
  </w:abstractNum>
  <w:abstractNum w:abstractNumId="114121">
    <w:lvl>
      <w:numFmt w:val="bullet"/>
      <w:suff w:val="tab"/>
      <w:lvlText w:val="•"/>
      <w:rPr>
        <w:color w:val="3370ff"/>
      </w:rPr>
    </w:lvl>
  </w:abstractNum>
  <w:abstractNum w:abstractNumId="114122">
    <w:lvl>
      <w:numFmt w:val="bullet"/>
      <w:suff w:val="tab"/>
      <w:lvlText w:val="•"/>
      <w:rPr>
        <w:color w:val="3370ff"/>
      </w:rPr>
    </w:lvl>
  </w:abstractNum>
  <w:abstractNum w:abstractNumId="114123">
    <w:lvl>
      <w:numFmt w:val="bullet"/>
      <w:suff w:val="tab"/>
      <w:lvlText w:val="•"/>
      <w:rPr>
        <w:color w:val="3370ff"/>
      </w:rPr>
    </w:lvl>
  </w:abstractNum>
  <w:abstractNum w:abstractNumId="114124">
    <w:lvl>
      <w:numFmt w:val="bullet"/>
      <w:suff w:val="tab"/>
      <w:lvlText w:val="•"/>
      <w:rPr>
        <w:color w:val="3370ff"/>
      </w:rPr>
    </w:lvl>
  </w:abstractNum>
  <w:abstractNum w:abstractNumId="114125">
    <w:lvl>
      <w:numFmt w:val="bullet"/>
      <w:suff w:val="tab"/>
      <w:lvlText w:val="•"/>
      <w:rPr>
        <w:color w:val="3370ff"/>
      </w:rPr>
    </w:lvl>
  </w:abstractNum>
  <w:abstractNum w:abstractNumId="114126">
    <w:lvl>
      <w:numFmt w:val="bullet"/>
      <w:suff w:val="tab"/>
      <w:lvlText w:val="•"/>
      <w:rPr>
        <w:color w:val="3370ff"/>
      </w:rPr>
    </w:lvl>
  </w:abstractNum>
  <w:abstractNum w:abstractNumId="114127">
    <w:lvl>
      <w:numFmt w:val="bullet"/>
      <w:suff w:val="tab"/>
      <w:lvlText w:val="•"/>
      <w:rPr>
        <w:color w:val="3370ff"/>
      </w:rPr>
    </w:lvl>
  </w:abstractNum>
  <w:abstractNum w:abstractNumId="114128">
    <w:lvl>
      <w:numFmt w:val="bullet"/>
      <w:suff w:val="tab"/>
      <w:lvlText w:val="•"/>
      <w:rPr>
        <w:color w:val="3370ff"/>
      </w:rPr>
    </w:lvl>
  </w:abstractNum>
  <w:abstractNum w:abstractNumId="114129">
    <w:lvl>
      <w:numFmt w:val="bullet"/>
      <w:suff w:val="tab"/>
      <w:lvlText w:val="•"/>
      <w:rPr>
        <w:color w:val="3370ff"/>
      </w:rPr>
    </w:lvl>
  </w:abstractNum>
  <w:abstractNum w:abstractNumId="114130">
    <w:lvl>
      <w:numFmt w:val="bullet"/>
      <w:suff w:val="tab"/>
      <w:lvlText w:val="•"/>
      <w:rPr>
        <w:color w:val="3370ff"/>
      </w:rPr>
    </w:lvl>
  </w:abstractNum>
  <w:abstractNum w:abstractNumId="114131">
    <w:lvl>
      <w:numFmt w:val="bullet"/>
      <w:suff w:val="tab"/>
      <w:lvlText w:val="•"/>
      <w:rPr>
        <w:color w:val="3370ff"/>
      </w:rPr>
    </w:lvl>
  </w:abstractNum>
  <w:abstractNum w:abstractNumId="114132">
    <w:lvl>
      <w:numFmt w:val="bullet"/>
      <w:suff w:val="tab"/>
      <w:lvlText w:val="•"/>
      <w:rPr>
        <w:color w:val="3370ff"/>
      </w:rPr>
    </w:lvl>
  </w:abstractNum>
  <w:abstractNum w:abstractNumId="114133">
    <w:lvl>
      <w:numFmt w:val="bullet"/>
      <w:suff w:val="tab"/>
      <w:lvlText w:val="•"/>
      <w:rPr>
        <w:color w:val="3370ff"/>
      </w:rPr>
    </w:lvl>
  </w:abstractNum>
  <w:abstractNum w:abstractNumId="114134">
    <w:lvl>
      <w:numFmt w:val="bullet"/>
      <w:suff w:val="tab"/>
      <w:lvlText w:val="•"/>
      <w:rPr>
        <w:color w:val="3370ff"/>
      </w:rPr>
    </w:lvl>
  </w:abstractNum>
  <w:abstractNum w:abstractNumId="114135">
    <w:lvl>
      <w:numFmt w:val="bullet"/>
      <w:suff w:val="tab"/>
      <w:lvlText w:val="•"/>
      <w:rPr>
        <w:color w:val="3370ff"/>
      </w:rPr>
    </w:lvl>
  </w:abstractNum>
  <w:abstractNum w:abstractNumId="114136">
    <w:lvl>
      <w:numFmt w:val="bullet"/>
      <w:suff w:val="tab"/>
      <w:lvlText w:val="•"/>
      <w:rPr>
        <w:color w:val="3370ff"/>
      </w:rPr>
    </w:lvl>
  </w:abstractNum>
  <w:abstractNum w:abstractNumId="114137">
    <w:lvl>
      <w:numFmt w:val="bullet"/>
      <w:suff w:val="tab"/>
      <w:lvlText w:val="•"/>
      <w:rPr>
        <w:color w:val="3370ff"/>
      </w:rPr>
    </w:lvl>
  </w:abstractNum>
  <w:abstractNum w:abstractNumId="114138">
    <w:lvl>
      <w:numFmt w:val="bullet"/>
      <w:suff w:val="tab"/>
      <w:lvlText w:val="•"/>
      <w:rPr>
        <w:color w:val="3370ff"/>
      </w:rPr>
    </w:lvl>
  </w:abstractNum>
  <w:abstractNum w:abstractNumId="114139">
    <w:lvl>
      <w:numFmt w:val="bullet"/>
      <w:suff w:val="tab"/>
      <w:lvlText w:val="•"/>
      <w:rPr>
        <w:color w:val="3370ff"/>
      </w:rPr>
    </w:lvl>
  </w:abstractNum>
  <w:abstractNum w:abstractNumId="114140">
    <w:lvl>
      <w:numFmt w:val="bullet"/>
      <w:suff w:val="tab"/>
      <w:lvlText w:val="•"/>
      <w:rPr>
        <w:color w:val="3370ff"/>
      </w:rPr>
    </w:lvl>
  </w:abstractNum>
  <w:abstractNum w:abstractNumId="114141">
    <w:lvl>
      <w:numFmt w:val="bullet"/>
      <w:suff w:val="tab"/>
      <w:lvlText w:val="•"/>
      <w:rPr>
        <w:color w:val="3370ff"/>
      </w:rPr>
    </w:lvl>
  </w:abstractNum>
  <w:abstractNum w:abstractNumId="114142">
    <w:lvl>
      <w:numFmt w:val="bullet"/>
      <w:suff w:val="tab"/>
      <w:lvlText w:val="•"/>
      <w:rPr>
        <w:color w:val="3370ff"/>
      </w:rPr>
    </w:lvl>
  </w:abstractNum>
  <w:abstractNum w:abstractNumId="114143">
    <w:lvl>
      <w:numFmt w:val="bullet"/>
      <w:suff w:val="tab"/>
      <w:lvlText w:val="•"/>
      <w:rPr>
        <w:color w:val="3370ff"/>
      </w:rPr>
    </w:lvl>
  </w:abstractNum>
  <w:abstractNum w:abstractNumId="114144">
    <w:lvl>
      <w:numFmt w:val="bullet"/>
      <w:suff w:val="tab"/>
      <w:lvlText w:val="•"/>
      <w:rPr>
        <w:color w:val="3370ff"/>
      </w:rPr>
    </w:lvl>
  </w:abstractNum>
  <w:abstractNum w:abstractNumId="114145">
    <w:lvl>
      <w:numFmt w:val="bullet"/>
      <w:suff w:val="tab"/>
      <w:lvlText w:val="•"/>
      <w:rPr>
        <w:color w:val="3370ff"/>
      </w:rPr>
    </w:lvl>
  </w:abstractNum>
  <w:abstractNum w:abstractNumId="114146">
    <w:lvl>
      <w:numFmt w:val="bullet"/>
      <w:suff w:val="tab"/>
      <w:lvlText w:val="•"/>
      <w:rPr>
        <w:color w:val="3370ff"/>
      </w:rPr>
    </w:lvl>
  </w:abstractNum>
  <w:num w:numId="1">
    <w:abstractNumId w:val="114090"/>
  </w:num>
  <w:num w:numId="2">
    <w:abstractNumId w:val="114091"/>
  </w:num>
  <w:num w:numId="3">
    <w:abstractNumId w:val="114092"/>
  </w:num>
  <w:num w:numId="4">
    <w:abstractNumId w:val="114093"/>
  </w:num>
  <w:num w:numId="5">
    <w:abstractNumId w:val="114094"/>
  </w:num>
  <w:num w:numId="6">
    <w:abstractNumId w:val="114095"/>
  </w:num>
  <w:num w:numId="7">
    <w:abstractNumId w:val="114096"/>
  </w:num>
  <w:num w:numId="8">
    <w:abstractNumId w:val="114097"/>
  </w:num>
  <w:num w:numId="9">
    <w:abstractNumId w:val="114098"/>
  </w:num>
  <w:num w:numId="10">
    <w:abstractNumId w:val="114099"/>
  </w:num>
  <w:num w:numId="11">
    <w:abstractNumId w:val="114100"/>
  </w:num>
  <w:num w:numId="12">
    <w:abstractNumId w:val="114101"/>
  </w:num>
  <w:num w:numId="13">
    <w:abstractNumId w:val="114102"/>
  </w:num>
  <w:num w:numId="14">
    <w:abstractNumId w:val="114103"/>
  </w:num>
  <w:num w:numId="15">
    <w:abstractNumId w:val="114104"/>
  </w:num>
  <w:num w:numId="16">
    <w:abstractNumId w:val="114105"/>
  </w:num>
  <w:num w:numId="17">
    <w:abstractNumId w:val="114106"/>
  </w:num>
  <w:num w:numId="18">
    <w:abstractNumId w:val="114107"/>
  </w:num>
  <w:num w:numId="19">
    <w:abstractNumId w:val="114108"/>
  </w:num>
  <w:num w:numId="20">
    <w:abstractNumId w:val="114109"/>
  </w:num>
  <w:num w:numId="21">
    <w:abstractNumId w:val="114110"/>
  </w:num>
  <w:num w:numId="22">
    <w:abstractNumId w:val="114111"/>
  </w:num>
  <w:num w:numId="23">
    <w:abstractNumId w:val="114112"/>
  </w:num>
  <w:num w:numId="24">
    <w:abstractNumId w:val="114113"/>
  </w:num>
  <w:num w:numId="25">
    <w:abstractNumId w:val="114114"/>
  </w:num>
  <w:num w:numId="26">
    <w:abstractNumId w:val="114115"/>
  </w:num>
  <w:num w:numId="27">
    <w:abstractNumId w:val="114116"/>
  </w:num>
  <w:num w:numId="28">
    <w:abstractNumId w:val="114117"/>
  </w:num>
  <w:num w:numId="29">
    <w:abstractNumId w:val="114118"/>
  </w:num>
  <w:num w:numId="30">
    <w:abstractNumId w:val="114119"/>
  </w:num>
  <w:num w:numId="31">
    <w:abstractNumId w:val="114120"/>
  </w:num>
  <w:num w:numId="32">
    <w:abstractNumId w:val="114121"/>
  </w:num>
  <w:num w:numId="33">
    <w:abstractNumId w:val="114122"/>
  </w:num>
  <w:num w:numId="34">
    <w:abstractNumId w:val="114123"/>
  </w:num>
  <w:num w:numId="35">
    <w:abstractNumId w:val="114124"/>
  </w:num>
  <w:num w:numId="36">
    <w:abstractNumId w:val="114125"/>
  </w:num>
  <w:num w:numId="37">
    <w:abstractNumId w:val="114126"/>
  </w:num>
  <w:num w:numId="38">
    <w:abstractNumId w:val="114127"/>
  </w:num>
  <w:num w:numId="39">
    <w:abstractNumId w:val="114128"/>
  </w:num>
  <w:num w:numId="40">
    <w:abstractNumId w:val="114129"/>
  </w:num>
  <w:num w:numId="41">
    <w:abstractNumId w:val="114130"/>
  </w:num>
  <w:num w:numId="42">
    <w:abstractNumId w:val="114131"/>
  </w:num>
  <w:num w:numId="43">
    <w:abstractNumId w:val="114132"/>
  </w:num>
  <w:num w:numId="44">
    <w:abstractNumId w:val="114133"/>
  </w:num>
  <w:num w:numId="45">
    <w:abstractNumId w:val="114134"/>
  </w:num>
  <w:num w:numId="46">
    <w:abstractNumId w:val="114135"/>
  </w:num>
  <w:num w:numId="47">
    <w:abstractNumId w:val="114136"/>
  </w:num>
  <w:num w:numId="48">
    <w:abstractNumId w:val="114137"/>
  </w:num>
  <w:num w:numId="49">
    <w:abstractNumId w:val="114138"/>
  </w:num>
  <w:num w:numId="50">
    <w:abstractNumId w:val="114139"/>
  </w:num>
  <w:num w:numId="51">
    <w:abstractNumId w:val="114140"/>
  </w:num>
  <w:num w:numId="52">
    <w:abstractNumId w:val="114141"/>
  </w:num>
  <w:num w:numId="53">
    <w:abstractNumId w:val="114142"/>
  </w:num>
  <w:num w:numId="54">
    <w:abstractNumId w:val="114143"/>
  </w:num>
  <w:num w:numId="55">
    <w:abstractNumId w:val="114144"/>
  </w:num>
  <w:num w:numId="56">
    <w:abstractNumId w:val="114145"/>
  </w:num>
  <w:num w:numId="57">
    <w:abstractNumId w:val="11414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2024-02-26T09:49:28Z</dcterms:created>
  <dc:creator>Apache POI</dc:creator>
</cp:coreProperties>
</file>