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Laravel “Grožio salonas”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web platformą, kurioje klientai galėtų užsisakyti grožio paslaugas.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Platforma sudaro vieša ir admin sritis. Į admin sritį gali patekti tik vartotojai turintys “admin” rolę, o į viešą visi platformoje užsiregistravę vartotojai.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Administracinė sritis.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pridėti, ištrinti ir redaguoti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grožio saloną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(adresas, pavadinimas, telefono numeris).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pridėti, ištrinti ir redaguoti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paslaugą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(pavadinimas, trukmė, kaina).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pridėti, ištrinti ir redaguoti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meistrą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(vardas, pavardė, nuorauka, salonas kuriame dirba (iš 1 punkto sąrašo)). Galimybė matyti meistro įveritinimą.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Galimybė peržiūrėti, patvirtinti arba atšaukti, redaguoti datą arba ištrinti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vartotojų užsakymus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Vieša sritis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Kiekvienas norintis gali užsiregistruoti.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Pasirinkti saloną, tame salone dirbantį meistrą, paslaugą iš sąrašų (sąrašai iš administracinės dalies) ir užsakyti paslaugą nurodant datą ir laiką.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Įvertinti meistrą, kurio paslaugą užsisakė.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Salonus išrūšiuoti pagal pavadinimą.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Matyti meistrų sąrašą, išrūšiuoti jį pagal įvertinimus ir nufiltruoti pagal saloną.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Matyti savo užsakymus ir jų statusą (ar patvirtintas, ar atšauktas).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