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Processing Agreement</w:t>
      </w:r>
    </w:p>
    <w:p>
      <w:pPr>
        <w:pStyle w:val="Heading1"/>
      </w:pPr>
      <w:r>
        <w:t>Preamble</w:t>
      </w:r>
    </w:p>
    <w:p>
      <w:r>
        <w:t>This Data Processing Agreement (DPA) supplements the Master Services Agreement between the Data Controller (Client) and the Data Processor (Provider).</w:t>
      </w:r>
    </w:p>
    <w:p>
      <w:pPr>
        <w:pStyle w:val="Heading1"/>
      </w:pPr>
      <w:r>
        <w:t>Article 1: Scope of Processing</w:t>
      </w:r>
    </w:p>
    <w:p>
      <w:r>
        <w:t>The Processor shall process personal data solely on behalf of the Controller and strictly in accordance with documented instructions. The data processed includes names, emails, and IP addresses.</w:t>
      </w:r>
    </w:p>
    <w:p>
      <w:pPr>
        <w:pStyle w:val="Heading1"/>
      </w:pPr>
      <w:r>
        <w:t>Article 2: Data Security</w:t>
      </w:r>
    </w:p>
    <w:p>
      <w:r>
        <w:t>The Processor must implement appropriate technical and organizational measures to protect personal data against accidental deletion or unauthorized access, as outlined in Article 1.</w:t>
      </w:r>
    </w:p>
    <w:p>
      <w:pPr>
        <w:pStyle w:val="Heading1"/>
      </w:pPr>
      <w:r>
        <w:t>Article 3: Data Breach Notification</w:t>
      </w:r>
    </w:p>
    <w:p>
      <w:r>
        <w:t>In the event of a personal data breach, the Processor shall notify the Controller without undue delay, and in no event later than 72 hours after having become aware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