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4B2358"/>
          <w:sz w:val="40"/>
        </w:rPr>
        <w:t>Format 5W+1H-vragen</w:t>
      </w:r>
    </w:p>
    <w:p>
      <w:pPr>
        <w:spacing w:before="0" w:after="200" w:line="276" w:lineRule="auto"/>
      </w:pPr>
      <w:r>
        <w:rPr>
          <w:rFonts w:ascii="Arial" w:hAnsi="Arial"/>
          <w:b/>
          <w:color w:val="C03774"/>
          <w:sz w:val="20"/>
        </w:rPr>
        <w:t>Commerciële kans voor Pulse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Commerciële kans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Wie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Wie organiseert en voert de commerciële kans uit? Benoem functies of afdelingen binnen DutchDelight Chocolates.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Wat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Wat moet er concreet gebeuren om de commerciële kans uit te voeren?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Waar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Waar vindt de uitvoering plaats: online, bij DutchDelight, bij zakelijke klanten of op een andere locatie?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Waarom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Waarom past deze kans bij Pulse en bij de geselecteerde trends en ontwikkelingen?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Wanneer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Wanneer wordt de kans uitgevoerd? Houd rekening met haalbaarheid, seizoen en voorbereidingstijd.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Hoe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Welke stappen, middelen en afspraken zijn nodig om de kans uit te voeren?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Aanvulling na feedback opdracht 3.2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Vul de commerciële kans aan met innovatie of maatschappelijk verantwoord ondernemen.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66666"/>
        <w:sz w:val="16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400"/>
      <w:jc w:val="center"/>
      <w:tblLayout w:type="fixed"/>
      <w:tblLook w:firstColumn="1" w:firstRow="1" w:lastColumn="0" w:lastRow="0" w:noHBand="0" w:noVBand="1" w:val="04A0"/>
    </w:tblPr>
    <w:tblGrid>
      <w:gridCol w:w="6500"/>
      <w:gridCol w:w="2900"/>
    </w:tblGrid>
    <w:tr>
      <w:tc>
        <w:tcPr>
          <w:tcW w:type="dxa" w:w="65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80" w:line="276" w:lineRule="auto"/>
          </w:pPr>
          <w:r>
            <w:rPr>
              <w:rFonts w:ascii="Arial" w:hAnsi="Arial"/>
              <w:b/>
              <w:color w:val="4B2358"/>
              <w:sz w:val="16"/>
            </w:rPr>
            <w:t>DutchDelight Chocolates | Pulse</w:t>
          </w:r>
        </w:p>
      </w:tc>
      <w:tc>
        <w:tcPr>
          <w:tcW w:type="dxa" w:w="29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52000" cy="28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dutchde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