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Bijlage 1 E-mail van Sanne Vermeer</w:t>
      </w:r>
    </w:p>
    <w:tbl>
      <w:tblPr>
        <w:tblW w:type="auto" w:w="0"/>
        <w:jc w:val="center"/>
        <w:tblLayout w:type="fixed"/>
        <w:tblLook w:firstColumn="1" w:firstRow="1" w:lastColumn="0" w:lastRow="0" w:noHBand="0" w:noVBand="1" w:val="04A0"/>
      </w:tblPr>
      <w:tblGrid>
        <w:gridCol w:w="7625"/>
        <w:gridCol w:w="7625"/>
      </w:tblGrid>
      <w:tr>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8"/>
              </w:rPr>
              <w:t>Veld</w:t>
            </w:r>
          </w:p>
        </w:tc>
        <w:tc>
          <w:tcPr>
            <w:tcW w:type="dxa" w:w="1281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8"/>
              </w:rPr>
              <w:t>Inhoud</w:t>
            </w:r>
          </w:p>
        </w:tc>
      </w:tr>
      <w:tr>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Van</w:t>
            </w:r>
          </w:p>
        </w:tc>
        <w:tc>
          <w:tcPr>
            <w:tcW w:type="dxa" w:w="12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Sanne Vermeer, Hoofd Marketing &amp; Sales</w:t>
            </w:r>
          </w:p>
        </w:tc>
      </w:tr>
      <w:tr>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Aan</w:t>
            </w:r>
          </w:p>
        </w:tc>
        <w:tc>
          <w:tcPr>
            <w:tcW w:type="dxa" w:w="12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Medewerker Marketing</w:t>
            </w:r>
          </w:p>
        </w:tc>
      </w:tr>
      <w:tr>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Onderwerp</w:t>
            </w:r>
          </w:p>
        </w:tc>
        <w:tc>
          <w:tcPr>
            <w:tcW w:type="dxa" w:w="12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8"/>
              </w:rPr>
              <w:t>Voorbereiden b2b-communicatie-uiting Pulse</w:t>
            </w:r>
          </w:p>
        </w:tc>
      </w:tr>
    </w:tbl>
    <w:p>
      <w:pPr>
        <w:spacing w:after="120"/>
      </w:pPr>
      <w:r>
        <w:t>Beste collega,</w:t>
      </w:r>
    </w:p>
    <w:p>
      <w:pPr>
        <w:spacing w:after="120"/>
      </w:pPr>
      <w:r>
        <w:t>Ik heb een inhoudelijke opdracht voor je. DutchDelight Chocolates wil het submerk Pulse de komende periode sterker onder de aandacht brengen bij bestaande zakelijke klanten in Nederland. Pulse is onze energieke chocoladelijn voor actieve snackmomenten: voor sport, studie, onderweg, events, vending, schoolkantines, campuslocaties en werkpauzes.</w:t>
      </w:r>
    </w:p>
    <w:p>
      <w:pPr>
        <w:spacing w:after="120"/>
      </w:pPr>
      <w:r>
        <w:t>Het management wil op korte termijn meer offerteaanvragen en herhaalorders realiseren bij b2b-klanten die passen bij Pulse. De communicatie-uiting moet hieraan bijdragen. Ik vraag je daarom om informatie te verzamelen, te selecteren en te verwerken voor een b2b-communicatie-uiting. Gebruik mijn informatie hieronder als startpunt, maar vul deze aan met actuele en betrouwbare externe bronnen.</w:t>
      </w:r>
    </w:p>
    <w:p>
      <w:pPr>
        <w:pStyle w:val="Heading2"/>
      </w:pPr>
      <w:r>
        <w:t>Achtergrond Pulse</w:t>
      </w:r>
    </w:p>
    <w:p>
      <w:pPr>
        <w:spacing w:after="120"/>
      </w:pPr>
      <w:r>
        <w:t>Pulse is in 2021 als submerk toegevoegd aan het assortiment van DutchDelight Chocolates. Het merk heeft een actieve uitstraling en wordt vooral verkocht op plekken waar mensen snel iets willen meenemen of tijdens een drukke dag een kleine traktatie zoeken. Zakelijke klanten kunnen Pulse inkopen via de b2b-webshop, via onze accountmanagers en via geselecteerde distributeurs.</w:t>
      </w:r>
    </w:p>
    <w:p>
      <w:pPr>
        <w:spacing w:after="120"/>
      </w:pPr>
      <w:r>
        <w:t>Voor deze communicatie-uiting richten we ons op bestaande zakelijke klanten. Nieuwe consumentencommunicatie is nu geen prioriteit. De boodschap moet dus zakelijk, concreet en commercieel zijn: wat levert Pulse de klant op, bij welk gebruiksmoment past het product en waarom is het interessant om nu een offerte aan te vragen?</w:t>
      </w:r>
    </w:p>
    <w:p>
      <w:pPr>
        <w:pStyle w:val="Heading2"/>
      </w:pPr>
      <w:r>
        <w:t>1. Omzetontwikkeling Pulse per afzetkanaal</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c>
          <w:tcPr>
            <w:tcW w:type="dxa" w:w="5184"/>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Afzetkanaal</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2021</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2022</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2023</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2024</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6"/>
              </w:rPr>
              <w:t>2025</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Sportkantines en sportclubs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80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130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210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310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420</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Scholen, mbo/hbo en campuslocaties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40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75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125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190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285</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Vendinglocaties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55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100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180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260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360</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Events en congreslocaties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35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65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115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160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230</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Bedrijfsrestaurants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90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120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150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185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225</w:t>
            </w:r>
          </w:p>
        </w:tc>
      </w:tr>
      <w:tr>
        <w:tc>
          <w:tcPr>
            <w:tcW w:type="dxa" w:w="51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Tankstations en gemakslocaties</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150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175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210</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245</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6"/>
              </w:rPr>
              <w:t>280</w:t>
            </w:r>
          </w:p>
        </w:tc>
      </w:tr>
    </w:tbl>
    <w:p>
      <w:pPr>
        <w:spacing w:after="120"/>
      </w:pPr>
      <w:r>
        <w:rPr>
          <w:i/>
        </w:rPr>
        <w:t>Bedragen x EUR 1.000. De cijfers zijn interne verkoopcijfers van DutchDelight Chocolates.</w:t>
      </w:r>
    </w:p>
    <w:p>
      <w:pPr>
        <w:pStyle w:val="Heading2"/>
      </w:pPr>
      <w:r>
        <w:t>2. Doelgroepinformatie bestaande b2b-klanten</w:t>
      </w:r>
    </w:p>
    <w:tbl>
      <w:tblPr>
        <w:tblW w:type="auto" w:w="0"/>
        <w:jc w:val="center"/>
        <w:tblLayout w:type="fixed"/>
        <w:tblLook w:firstColumn="1" w:firstRow="1" w:lastColumn="0" w:lastRow="0" w:noHBand="0" w:noVBand="1" w:val="04A0"/>
      </w:tblPr>
      <w:tblGrid>
        <w:gridCol w:w="3812"/>
        <w:gridCol w:w="3812"/>
        <w:gridCol w:w="3812"/>
        <w:gridCol w:w="3812"/>
      </w:tblGrid>
      <w:tr>
        <w:tc>
          <w:tcPr>
            <w:tcW w:type="dxa" w:w="3384"/>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Klantgroep</w:t>
            </w:r>
          </w:p>
        </w:tc>
        <w:tc>
          <w:tcPr>
            <w:tcW w:type="dxa" w:w="288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Beslisser</w:t>
            </w:r>
          </w:p>
        </w:tc>
        <w:tc>
          <w:tcPr>
            <w:tcW w:type="dxa" w:w="453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Belangrijkste koopmotief</w:t>
            </w:r>
          </w:p>
        </w:tc>
        <w:tc>
          <w:tcPr>
            <w:tcW w:type="dxa" w:w="381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Aandachtspunt</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Sportkantines en sportclubs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Kantinebeheerder, verenigingsmanager</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Snelle verkoopmomenten rond trainingen, wedstrijden en toernooien</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Prijs per stuk en eenvoudige voorraadplanning</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Scholen, mbo/hbo en campuslocaties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Facilitair manager, cateringpartner</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Aansluiten bij pauzes, studiedagen en drukke campusmomenten</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Gezondheidsbeleid, allergeneninformatie en duidelijke productclaims</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Vendinglocaties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Category manager, vendingoperator</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Compact product met hoge rotatie en herkenbare verpakking</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Formaat, marge, houdbaarheid en logistieke betrouwbaarheid</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Events en congreslocaties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Eventmanager, inkoper hospitality</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Impulsaankoop, goodiebags en energieke merkbeleving</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Levertermijn, staffelkorting en tijdelijke piekbestellingen</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Bedrijfsrestaurants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Cateringmanager, HR/facilitair inkoper</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Kleine traktatie bij lunch, vergadering of werkpauze</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Passend bij personeelsbeleid en variatie in assortiment</w:t>
            </w:r>
          </w:p>
        </w:tc>
      </w:tr>
      <w:tr>
        <w:tc>
          <w:tcPr>
            <w:tcW w:type="dxa" w:w="338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Tankstations en gemakslocaties</w:t>
            </w:r>
          </w:p>
        </w:tc>
        <w:tc>
          <w:tcPr>
            <w:tcW w:type="dxa" w:w="288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Retailmanager, franchisenemer</w:t>
            </w:r>
          </w:p>
        </w:tc>
        <w:tc>
          <w:tcPr>
            <w:tcW w:type="dxa" w:w="453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Onderwegconsumptie en snelle doorverkoop bij de kassa</w:t>
            </w:r>
          </w:p>
        </w:tc>
        <w:tc>
          <w:tcPr>
            <w:tcW w:type="dxa" w:w="38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Schappositie, prijsactie en concurrentie met bekende merken</w:t>
            </w:r>
          </w:p>
        </w:tc>
      </w:tr>
    </w:tbl>
    <w:p>
      <w:pPr>
        <w:pStyle w:val="Heading2"/>
      </w:pPr>
      <w:r>
        <w:t>3. Mediabereik per doelgroep en communicatiekanaal</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3672"/>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Doelgroep</w:t>
            </w:r>
          </w:p>
        </w:tc>
        <w:tc>
          <w:tcPr>
            <w:tcW w:type="dxa" w:w="165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E-mailing</w:t>
            </w:r>
          </w:p>
        </w:tc>
        <w:tc>
          <w:tcPr>
            <w:tcW w:type="dxa" w:w="165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LinkedIn</w:t>
            </w:r>
          </w:p>
        </w:tc>
        <w:tc>
          <w:tcPr>
            <w:tcW w:type="dxa" w:w="2232"/>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Accountmanager</w:t>
            </w:r>
          </w:p>
        </w:tc>
        <w:tc>
          <w:tcPr>
            <w:tcW w:type="dxa" w:w="2592"/>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Samplebox/direct mail</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Vakplatform</w:t>
            </w:r>
          </w:p>
        </w:tc>
        <w:tc>
          <w:tcPr>
            <w:tcW w:type="dxa" w:w="1800"/>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Beurs/demo</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Sportkantines en sportclubs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Scholen, mbo/hbo en campuslocaties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Vendinglocaties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Events en congreslocaties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Bedrijfsrestaurants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Tankstations en gemakslocaties</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65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23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259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c>
          <w:tcPr>
            <w:tcW w:type="dxa" w:w="1800"/>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w:t>
            </w:r>
          </w:p>
        </w:tc>
      </w:tr>
    </w:tbl>
    <w:p>
      <w:pPr>
        <w:spacing w:after="120"/>
      </w:pPr>
      <w:r>
        <w:rPr>
          <w:i/>
        </w:rPr>
        <w:t>- = onvoldoende bereik, + = voldoende bereik, ++ = goed bereik.</w:t>
      </w:r>
    </w:p>
    <w:p>
      <w:pPr>
        <w:pStyle w:val="Heading2"/>
      </w:pPr>
      <w:r>
        <w:t>4. Kosten en inzetbaarheid communicatiekanalen</w:t>
      </w:r>
    </w:p>
    <w:tbl>
      <w:tblPr>
        <w:tblW w:type="auto" w:w="0"/>
        <w:jc w:val="center"/>
        <w:tblLayout w:type="fixed"/>
        <w:tblLook w:firstColumn="1" w:firstRow="1" w:lastColumn="0" w:lastRow="0" w:noHBand="0" w:noVBand="1" w:val="04A0"/>
      </w:tblPr>
      <w:tblGrid>
        <w:gridCol w:w="3812"/>
        <w:gridCol w:w="3812"/>
        <w:gridCol w:w="3812"/>
        <w:gridCol w:w="3812"/>
      </w:tblGrid>
      <w:tr>
        <w:tc>
          <w:tcPr>
            <w:tcW w:type="dxa" w:w="3672"/>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Kanaal</w:t>
            </w:r>
          </w:p>
        </w:tc>
        <w:tc>
          <w:tcPr>
            <w:tcW w:type="dxa" w:w="2664"/>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Kosten</w:t>
            </w:r>
          </w:p>
        </w:tc>
        <w:tc>
          <w:tcPr>
            <w:tcW w:type="dxa" w:w="2664"/>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Snelheid</w:t>
            </w:r>
          </w:p>
        </w:tc>
        <w:tc>
          <w:tcPr>
            <w:tcW w:type="dxa" w:w="5616"/>
            <w:vAlign w:val="top"/>
            <w:tcBorders>
              <w:top w:val="single" w:sz="4" w:space="0" w:color="CFC8D8"/>
              <w:left w:val="single" w:sz="4" w:space="0" w:color="CFC8D8"/>
              <w:bottom w:val="single" w:sz="4" w:space="0" w:color="CFC8D8"/>
              <w:right w:val="single" w:sz="4" w:space="0" w:color="CFC8D8"/>
            </w:tcBorders>
            <w:shd w:fill="F0EDF4"/>
          </w:tcPr>
          <w:p>
            <w:pPr>
              <w:spacing w:after="0"/>
            </w:pPr>
            <w:r>
              <w:rPr>
                <w:rFonts w:ascii="Arial" w:hAnsi="Arial"/>
                <w:b/>
                <w:sz w:val="15"/>
              </w:rPr>
              <w:t>Opmerking</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E-mailing naar bestaande b2b-contacten</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Geen extra mediakosten</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Snel: binnen 1 week inzetbaar</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Alleen effectief als onderwerp, call-to-action en segmentatie goed zijn.</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LinkedIn-posts en kleine gesponsorde campagne</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EUR 650 campagnebudget, exclusief ontwerp</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Snel: binnen 1 tot 2 weken inzetbaar</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Geschikt om zakelijke beslissers te bereiken, vooral bij scholen, campus en events.</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Accountmanager benadert klanten persoonlijk</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Geen extra mediakosten, wel personeelsuren</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Gemiddeld: afhankelijk van agenda</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Sterk bij klanten met duidelijke omzetpotentie, maar capaciteit is beperkt.</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Samplebox/direct mail</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EUR 5,75 per ontvanger, exclusief verzendkosten</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Gemiddeld: voorbereiding en verzending nodig</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Laat het product ervaren, maar is duurder bij grote aantallen.</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Artikel of advertentie op vakplatform</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EUR 1.750 per plaatsing</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Gemiddeld: plaatsing in overleg</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Bereik is zakelijk, maar minder direct gericht op bestaande klanten.</w:t>
            </w:r>
          </w:p>
        </w:tc>
      </w:tr>
      <w:tr>
        <w:tc>
          <w:tcPr>
            <w:tcW w:type="dxa" w:w="3672"/>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Beursstand of live demo</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Vanaf EUR 7.500, exclusief personeelskosten</w:t>
            </w:r>
          </w:p>
        </w:tc>
        <w:tc>
          <w:tcPr>
            <w:tcW w:type="dxa" w:w="2664"/>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Traag: planning minimaal 6 weken</w:t>
            </w:r>
          </w:p>
        </w:tc>
        <w:tc>
          <w:tcPr>
            <w:tcW w:type="dxa" w:w="5616"/>
            <w:vAlign w:val="top"/>
            <w:tcBorders>
              <w:top w:val="single" w:sz="4" w:space="0" w:color="CFC8D8"/>
              <w:left w:val="single" w:sz="4" w:space="0" w:color="CFC8D8"/>
              <w:bottom w:val="single" w:sz="4" w:space="0" w:color="CFC8D8"/>
              <w:right w:val="single" w:sz="4" w:space="0" w:color="CFC8D8"/>
            </w:tcBorders>
          </w:tcPr>
          <w:p>
            <w:pPr>
              <w:spacing w:after="0"/>
            </w:pPr>
            <w:r>
              <w:rPr>
                <w:rFonts w:ascii="Arial" w:hAnsi="Arial"/>
                <w:sz w:val="15"/>
              </w:rPr>
              <w:t>Kan sterk zijn voor events en vending, maar past minder goed bij een korte termijn en beperkt budget.</w:t>
            </w:r>
          </w:p>
        </w:tc>
      </w:tr>
    </w:tbl>
    <w:p>
      <w:pPr>
        <w:spacing w:after="120"/>
      </w:pPr>
      <w:r>
        <w:t>Randvoorwaarden: het indicatieve mediabudget is EUR 3.500. Gebruik geen harde gezondheidsclaims over energie, concentratie of sportprestaties. Houd rekening met allergeneninformatie, portretrecht, merkrecht en AVG. De uiting moet passen bij de huisstijl van DutchDelight Chocolates en de actieve uitstraling van Pulse.</w:t>
      </w:r>
    </w:p>
    <w:p>
      <w:pPr>
        <w:spacing w:after="120"/>
      </w:pPr>
      <w:r>
        <w:t>Ik ga ervan uit dat je naast deze interne informatie ook externe bronnen gebruikt. Denk aan informatie over trends in vending, school- en campuscatering, sportkantines, zakelijke foodservice, snackgedrag onderweg of relevante wet- en regelgeving. Misschien zie jij ook nog een ander communicatiekanaal dat beter past; onderbouw dat dan met bronnen.</w:t>
      </w:r>
    </w:p>
    <w:p>
      <w:pPr>
        <w:spacing w:after="120"/>
      </w:pPr>
      <w:r>
        <w:t>Leg je conclusies vast in de bijlage Conclusies voorbereiden communicatie-uiting. Werk in ieder geval uit: communicatiedoel, doelgroep, AIDA, kernboodschap, minimaal twee passende communicatiekanalen, onderbouwing van je kanaalkeuze, gebruikte bronnen en je conclusie.</w:t>
      </w:r>
    </w:p>
    <w:p>
      <w:pPr>
        <w:spacing w:after="120"/>
      </w:pPr>
      <w:r>
        <w:t>Verras mij met een goed onderbouwd voorstel.</w:t>
      </w:r>
    </w:p>
    <w:p>
      <w:pPr>
        <w:spacing w:after="120"/>
      </w:pPr>
      <w:r>
        <w:t>Met vriendelijke groet,</w:t>
        <w:br/>
        <w:t>Sanne Vermeer</w:t>
        <w:br/>
        <w:t>Hoofd Marketing &amp; Sales</w:t>
        <w:br/>
        <w:t>DutchDelight Chocolates</w:t>
      </w:r>
    </w:p>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B1-K2 B Pulse - Bijlage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B23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B23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