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Baldrian Leben – Aktuariat Leben</w:t>
      </w:r>
    </w:p>
    <w:p>
      <w:r>
        <w:t xml:space="preserve">Hausanschrift: Baldrianweg 3, 60313 Frankfurt am Main</w:t>
      </w:r>
    </w:p>
    <w:p>
      <w:r>
        <w:t xml:space="preserve"/>
      </w:r>
    </w:p>
    <w:p>
      <w:pPr>
        <w:pStyle w:val="Title"/>
      </w:pPr>
      <w:r>
        <w:t xml:space="preserve">Aktuarielle Notiz 2026/05</w:t>
      </w:r>
    </w:p>
    <w:p>
      <w:r>
        <w:t xml:space="preserve">Stornoabschlag nach einer Beitragsabsetzung</w:t>
      </w:r>
    </w:p>
    <w:p>
      <w:r>
        <w:t xml:space="preserve">Tarifgeneration KLV TG2015 – Stand 29. August 2026</w:t>
      </w:r>
    </w:p>
    <w:p>
      <w:r>
        <w:t xml:space="preserve"/>
      </w:r>
    </w:p>
    <w:p>
      <w:pPr>
        <w:pStyle w:val="Heading1"/>
      </w:pPr>
      <w:r>
        <w:t xml:space="preserve">1. Anlass</w:t>
      </w:r>
    </w:p>
    <w:p>
      <w:r>
        <w:t xml:space="preserve">Im Rahmen der Bestandsübertragung an die Pfefferminzia Lebensversicherung ist uns die Rückfrage zugegangen, nach welcher Regel wir den Stornoabschlag eines Vertrages bilden, dessen Beitrag zuvor herabgesetzt worden ist. Die Rückfrage ist berechtigt: Ziffer 3.1 der Mitteilung 143 regelt den Abschlag für einen Vertrag mit einer Versicherungssumme und einer Deckungsrückstellung. Sie kennt die Beitragsabsetzung nicht. Unsere Aktuarielle Notiz 2026/04 regelt die Umwandlung im Moment der Absetzung, nicht den späteren Rückkauf des herabgesetzten Vertrages.</w:t>
      </w:r>
    </w:p>
    <w:p>
      <w:pPr>
        <w:pStyle w:val="Heading1"/>
      </w:pPr>
      <w:r>
        <w:t xml:space="preserve">2. Auskunft</w:t>
      </w:r>
    </w:p>
    <w:p>
      <w:r>
        <w:t xml:space="preserve">Eine solche Regel besteht bei uns nicht.</w:t>
      </w:r>
    </w:p>
    <w:p>
      <w:r>
        <w:t xml:space="preserve">Die Absetzung ist der Werthöhe nach zu keinem Zeitpunkt zugesagt worden. Unsere Bedingungen eröffnen den Vorgang als Möglichkeit und verweisen auf eine Neuberechnung nach anerkannten Regeln der Versicherungsmathematik; eine bestimmte Summe, ein bestimmter Umrechnungssatz und auch kein bestimmter späterer Abschlag sind gegenüber den Versicherungsnehmern zugesagt worden.</w:t>
      </w:r>
    </w:p>
    <w:p>
      <w:r>
        <w:t xml:space="preserve">Die seinerzeit angewandte Berechnung ist heute nicht mehr rekonstruierbar. Wir können den von uns gelieferten Rückkaufswert dieser Verträge daher nicht herleiten.</w:t>
      </w:r>
    </w:p>
    <w:p>
      <w:pPr>
        <w:pStyle w:val="Heading1"/>
      </w:pPr>
      <w:r>
        <w:t xml:space="preserve">3. Reichweite</w:t>
      </w:r>
    </w:p>
    <w:p>
      <w:r>
        <w:t xml:space="preserve">Betroffen sind die Verträge, die vor dem Migrationsstichtag eine Beitragsabsetzung erfahren haben. Sie sind in der mitgelieferten Geschäftsvorfall-Metadatenliste baldrian_gevo_metadaten.csv mit der Vorfallart RED ausgewiesen.</w:t>
      </w:r>
    </w:p>
    <w:p>
      <w:r>
        <w:t xml:space="preserve">Für diese Verträge ist der von uns gelieferte Rückkaufswert kein herleitbarer Erwartungswert. Nicht berührt sind das Deckungskapital, der Jahresbeitrag und die beitragsfreie Versicherungssumme: Deren Verfahren ist in der Aktuariellen Notiz 2026/04 dokumentiert und nachvollziehbar.</w:t>
      </w:r>
    </w:p>
    <w:p>
      <w:pPr>
        <w:pStyle w:val="Heading1"/>
      </w:pPr>
      <w:r>
        <w:t xml:space="preserve">4. Folge für die Übernahme</w:t>
      </w:r>
    </w:p>
    <w:p>
      <w:r>
        <w:t xml:space="preserve">Wir empfehlen dem übernehmenden Unternehmen, den Rückkaufswert dieser Verträge nach eigener Lesart der Ziffer 3.1 zu berechnen, auf aktuarielle Plausibilität zu prüfen und in dieser Höhe zu übernehmen.</w:t>
      </w:r>
    </w:p>
    <w:p>
      <w:r>
        <w:t xml:space="preserve">Ein centgenauer Abgleich gegen unseren gelieferten Wert ist für diese Verträge kein tragfähiges Abnahmekriterium. Er prüfte nicht, ob das übernehmende System richtig rechnet, sondern ob es eine Berechnung nachbildet, die ihr Urheber nicht mehr herleiten kann.</w:t>
      </w:r>
    </w:p>
    <w:p>
      <w:r>
        <w:t xml:space="preserve">Wir widersprechen ausdrücklich nicht einer Plausibilitätsprüfung, die auch unsere gelieferten Werte einschließt. Liegt ein von uns gelieferter Rückkaufswert außerhalb des Rahmens, den Ziffer 3.1 zulässt, so ist das ein Befund gegen unsere Lieferung.</w:t>
      </w:r>
    </w:p>
    <w:p>
      <w:pPr>
        <w:pStyle w:val="Heading1"/>
      </w:pPr>
      <w:r>
        <w:t xml:space="preserve">5. Geltung dieser Notiz</w:t>
      </w:r>
    </w:p>
    <w:p>
      <w:r>
        <w:t xml:space="preserve">Die Notiz beschreibt den Kenntnisstand unseres Aktuariats zum genannten Stand. Sie begründet keine über die Bedingungen hinausgehende Zusage und gilt allein für die Tarifgeneration KLV TG2015.</w:t>
      </w:r>
    </w:p>
    <w:p>
      <w:r>
        <w:t xml:space="preserve"/>
      </w:r>
    </w:p>
    <w:p>
      <w:r>
        <w:t xml:space="preserve">Baldrian Leben</w:t>
      </w:r>
    </w:p>
    <w:p>
      <w:r>
        <w:t xml:space="preserve">Bereichsleiter Aktuariat</w:t>
      </w:r>
    </w:p>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pPr>
  </w:style>
  <w:style w:type="paragraph" w:styleId="Title">
    <w:name w:val="Title"/>
    <w:basedOn w:val="Normal"/>
    <w:pPr>
      <w:spacing w:before="240" w:after="120"/>
    </w:pPr>
    <w:rPr>
      <w:b/>
      <w:sz w:val="36"/>
    </w:rPr>
  </w:style>
  <w:style w:type="paragraph" w:styleId="Heading1">
    <w:name w:val="heading 1"/>
    <w:basedOn w:val="Normal"/>
    <w:pPr>
      <w:outlineLvl w:val="0"/>
      <w:spacing w:before="240" w:after="120"/>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