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Baldrian Leben – Aktuariat Leben</w:t>
      </w:r>
    </w:p>
    <w:p>
      <w:r>
        <w:t xml:space="preserve">Hausanschrift: Baldrianweg 3, 60313 Frankfurt am Main</w:t>
      </w:r>
    </w:p>
    <w:p>
      <w:r>
        <w:t xml:space="preserve"/>
      </w:r>
    </w:p>
    <w:p>
      <w:pPr>
        <w:pStyle w:val="Title"/>
      </w:pPr>
      <w:r>
        <w:t xml:space="preserve">Aktuarielle Notiz 2026/04</w:t>
      </w:r>
    </w:p>
    <w:p>
      <w:r>
        <w:t xml:space="preserve">Rechnerischer Umgang mit der Beitragsabsetzung</w:t>
      </w:r>
    </w:p>
    <w:p>
      <w:r>
        <w:t xml:space="preserve">Tarifgeneration KLV TG2015 – Stand 12. Februar 2026</w:t>
      </w:r>
    </w:p>
    <w:p>
      <w:r>
        <w:t xml:space="preserve"/>
      </w:r>
    </w:p>
    <w:p>
      <w:pPr>
        <w:pStyle w:val="Heading1"/>
      </w:pPr>
      <w:r>
        <w:t xml:space="preserve">1. Anlass</w:t>
      </w:r>
    </w:p>
    <w:p>
      <w:r>
        <w:t xml:space="preserve">Im Rahmen der Bestandsübertragung an die Pfefferminzia Lebensversicherung ist uns die Rückfrage zugegangen, nach welchem Verfahren wir eine Absetzung des laufenden Beitrags rechnen. Die Mitteilung 143 zur Tarifgeneration KLV TG2015 enthält dazu keine Regelung. Das ist kein Versehen: Der Vorgang ist in unseren Bedingungen als Möglichkeit eröffnet, aber nicht mit einem zugesagten Ergebnis unterlegt. Wir beschreiben das tatsächlich angewandte Verfahren daher mit dieser gesonderten Notiz.</w:t>
      </w:r>
    </w:p>
    <w:p>
      <w:r>
        <w:t xml:space="preserve"/>
      </w:r>
    </w:p>
    <w:p>
      <w:pPr>
        <w:pStyle w:val="Heading1"/>
      </w:pPr>
      <w:r>
        <w:t xml:space="preserve">2. Vertragliche Grundlage</w:t>
      </w:r>
    </w:p>
    <w:p>
      <w:r>
        <w:t xml:space="preserve">Die Bedingungen sehen vor, dass der Versicherungsnehmer den Beitrag zum Ende eines Versicherungsjahres herabsetzen kann, sofern der verbleibende Beitrag den Mindestbeitrag nicht unterschreitet. Zur Höhe der danach maßgebenden Versicherungssumme treffen sie keine Aussage; sie verweisen auf eine Neuberechnung nach anerkannten Regeln der Versicherungsmathematik. Eine Zusage einer bestimmten Summe oder eines bestimmten Umrechnungssatzes ist gegenüber den Versicherungsnehmern nicht erfolgt.</w:t>
      </w:r>
    </w:p>
    <w:p>
      <w:r>
        <w:t xml:space="preserve"/>
      </w:r>
    </w:p>
    <w:p>
      <w:pPr>
        <w:pStyle w:val="Heading1"/>
      </w:pPr>
      <w:r>
        <w:t xml:space="preserve">3. Angewandtes Verfahren</w:t>
      </w:r>
    </w:p>
    <w:p>
      <w:r>
        <w:t xml:space="preserve">Wir behandeln die Absetzung als Teilkündigung. Der Vertrag wird in einen fortgeführten und einen abgesetzten Teil zerlegt; die Zerlegung erfolgt im Verhältnis der Beiträge. Bezeichnet f den fortgeführten Bruchteil des Jahresbeitrags, so bleibt der Anteil f des Vertrages unverändert beitragspflichtig bestehen, und der Anteil 1 − f wird in beitragsfreie Versicherungssumme umgewandelt.</w:t>
      </w:r>
    </w:p>
    <w:p>
      <w:r>
        <w:t xml:space="preserve">Auf den umzuwandelnden Teil erheben wir den anteiligen Stornoabschlag nach Ziffer 3.1 der Mitteilung 143 – denselben Abschlag, der bei einer Teilkündigung anfiele. Maßgebend sind die Werte des Versicherungsjahres, in dem die Absetzung wirksam wird:</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tcPr>
          <w:p>
            <w:r>
              <w:t xml:space="preserve">Größe</w:t>
            </w:r>
          </w:p>
        </w:tc>
        <w:tc>
          <w:tcPr>
            <w:tcW w:w="0" w:type="auto"/>
          </w:tcPr>
          <w:p>
            <w:r>
              <w:t xml:space="preserve">Ermittlung</w:t>
            </w:r>
          </w:p>
        </w:tc>
      </w:tr>
      <w:tr>
        <w:tc>
          <w:tcPr>
            <w:tcW w:w="0" w:type="auto"/>
          </w:tcPr>
          <w:p>
            <w:r>
              <w:t xml:space="preserve">umgewandeltes Deckungskapital</w:t>
            </w:r>
          </w:p>
        </w:tc>
        <w:tc>
          <w:tcPr>
            <w:tcW w:w="0" w:type="auto"/>
          </w:tcPr>
          <w:p>
            <w:r>
              <w:t xml:space="preserve">(DR − StoAb) · (1 − f)</w:t>
            </w:r>
          </w:p>
        </w:tc>
      </w:tr>
      <w:tr>
        <w:tc>
          <w:tcPr>
            <w:tcW w:w="0" w:type="auto"/>
          </w:tcPr>
          <w:p>
            <w:r>
              <w:t xml:space="preserve">beitragsfreie Zusatzsumme</w:t>
            </w:r>
          </w:p>
        </w:tc>
        <w:tc>
          <w:tcPr>
            <w:tcW w:w="0" w:type="auto"/>
          </w:tcPr>
          <w:p>
            <w:r>
              <w:t xml:space="preserve">umgewandeltes Deckungskapital / kVx_bfr</w:t>
            </w:r>
          </w:p>
        </w:tc>
      </w:tr>
      <w:tr>
        <w:tc>
          <w:tcPr>
            <w:tcW w:w="0" w:type="auto"/>
          </w:tcPr>
          <w:p>
            <w:r>
              <w:t xml:space="preserve">neue Versicherungssumme</w:t>
            </w:r>
          </w:p>
        </w:tc>
        <w:tc>
          <w:tcPr>
            <w:tcW w:w="0" w:type="auto"/>
          </w:tcPr>
          <w:p>
            <w:r>
              <w:t xml:space="preserve">VS · f + beitragsfreie Zusatzsumme</w:t>
            </w:r>
          </w:p>
        </w:tc>
      </w:tr>
      <w:tr>
        <w:tc>
          <w:tcPr>
            <w:tcW w:w="0" w:type="auto"/>
          </w:tcPr>
          <w:p>
            <w:r>
              <w:t xml:space="preserve">neuer Jahresbeitrag</w:t>
            </w:r>
          </w:p>
        </w:tc>
        <w:tc>
          <w:tcPr>
            <w:tcW w:w="0" w:type="auto"/>
          </w:tcPr>
          <w:p>
            <w:r>
              <w:t xml:space="preserve">BJB · f</w:t>
            </w:r>
          </w:p>
        </w:tc>
      </w:tr>
    </w:tbl>
    <w:p/>
    <w:p>
      <w:r>
        <w:t xml:space="preserve">Dabei ist DR die Deckungsrückstellung des beitragspflichtigen Vertrages, StoAb der Stornoabschlag nach Ziffer 3.1 und kVx_bfr der beitragsfreie Reservesatz, beide zum selben Zeitpunkt. Die Absetzung ist nur zum Versicherungsjahrestag möglich; eine unterjährige Absetzung sehen wir nicht vor.</w:t>
      </w:r>
    </w:p>
    <w:p>
      <w:r>
        <w:t xml:space="preserve">Sachlicher Grund für den Abschlag ist, dass die Abschlusskosten des abgesetzten Vertragsteils zum Zeitpunkt der Absetzung noch nicht vollständig getilgt sind. Der Abschlag ist der Höhe nach auf den in Ziffer 3.1 genannten Rahmen begrenzt und entfällt in der flexiblen Ablaufphase.</w:t>
      </w:r>
    </w:p>
    <w:p>
      <w:r>
        <w:t xml:space="preserve"/>
      </w:r>
    </w:p>
    <w:p>
      <w:pPr>
        <w:pStyle w:val="Heading1"/>
      </w:pPr>
      <w:r>
        <w:t xml:space="preserve">4. Verhältnis zur vollständigen Beitragsfreistellung</w:t>
      </w:r>
    </w:p>
    <w:p>
      <w:r>
        <w:t xml:space="preserve">Die vollständige Beitragsfreistellung rechnen wir abweichend hiervon ohne Abschlag: Die beitragsfreie Versicherungssumme ergibt sich dort als DR / kVx_bfr, solange die Beitragszahlungsdauer noch läuft, und entspricht danach der Versicherungssumme.</w:t>
      </w:r>
    </w:p>
    <w:p>
      <w:r>
        <w:t xml:space="preserve">Daraus folgt eine Unstetigkeit an der Stelle f = 0: Eine Absetzung auf einen Beitrag von null ergäbe eine geringere beitragsfreie Summe als die Beitragsfreistellung. Praktische Bedeutung hat das nicht, weil eine Absetzung auf null bei uns als Beitragsfreistellung erfasst und auch so gerechnet wird. Wir weisen die Abweichung aus, damit sie bei einer Nachrechnung nicht als Fehler erscheint.</w:t>
      </w:r>
    </w:p>
    <w:p>
      <w:r>
        <w:t xml:space="preserve"/>
      </w:r>
    </w:p>
    <w:p>
      <w:pPr>
        <w:pStyle w:val="Heading1"/>
      </w:pPr>
      <w:r>
        <w:t xml:space="preserve">5. Geltungsbereich</w:t>
      </w:r>
    </w:p>
    <w:p>
      <w:r>
        <w:t xml:space="preserve">Diese Notiz beschreibt das Verfahren für die Tarifgeneration KLV TG2015 in der seit dem 1. Januar 2015 gültigen Fassung. Für ältere Generationen gelten abweichende Regelungen, die hier nicht dargestellt sind. Die Notiz beschreibt das angewandte Verfahren; sie begründet keine über die Bedingungen hinausgehende Zusage.</w:t>
      </w:r>
    </w:p>
    <w:p>
      <w:r>
        <w:t xml:space="preserve"/>
      </w:r>
    </w:p>
    <w:p>
      <w:r>
        <w:t xml:space="preserve">Baldrian Leben</w:t>
      </w:r>
    </w:p>
    <w:p>
      <w:r>
        <w:t xml:space="preserve">Leiter Aktuariat Leben</w:t>
      </w:r>
    </w:p>
    <w:p>
      <w:r>
        <w:t xml:space="preserve">Verantwortlicher Aktuar</w:t>
      </w:r>
    </w:p>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20"/>
    </w:pPr>
  </w:style>
  <w:style w:type="paragraph" w:styleId="Title">
    <w:name w:val="Title"/>
    <w:basedOn w:val="Normal"/>
    <w:pPr>
      <w:spacing w:before="240" w:after="120"/>
    </w:pPr>
    <w:rPr>
      <w:b/>
      <w:sz w:val="36"/>
    </w:rPr>
  </w:style>
  <w:style w:type="paragraph" w:styleId="Heading1">
    <w:name w:val="heading 1"/>
    <w:basedOn w:val="Normal"/>
    <w:pPr>
      <w:outlineLvl w:val="0"/>
      <w:spacing w:before="240" w:after="120"/>
    </w:pPr>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