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8818"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Methods</w:t>
      </w:r>
      <w:r w:rsidRPr="007139CC">
        <w:rPr>
          <w:rStyle w:val="eop"/>
          <w:rFonts w:ascii="Calibri" w:eastAsiaTheme="majorEastAsia" w:hAnsi="Calibri" w:cs="Calibri"/>
          <w:sz w:val="22"/>
          <w:szCs w:val="22"/>
        </w:rPr>
        <w:t> </w:t>
      </w:r>
    </w:p>
    <w:p w14:paraId="0FECB0AD" w14:textId="77777777" w:rsidR="007139CC" w:rsidRPr="007139CC" w:rsidRDefault="007139CC" w:rsidP="00B8764F">
      <w:pPr>
        <w:pStyle w:val="paragraph"/>
        <w:spacing w:before="0" w:beforeAutospacing="0" w:after="0" w:afterAutospacing="0"/>
        <w:jc w:val="both"/>
        <w:textAlignment w:val="baseline"/>
        <w:rPr>
          <w:rFonts w:ascii="Calibri" w:hAnsi="Calibri" w:cs="Calibri"/>
          <w:b/>
          <w:bCs/>
          <w:sz w:val="22"/>
          <w:szCs w:val="22"/>
        </w:rPr>
      </w:pPr>
      <w:r w:rsidRPr="007139CC">
        <w:rPr>
          <w:rStyle w:val="normaltextrun"/>
          <w:rFonts w:ascii="Calibri" w:eastAsiaTheme="majorEastAsia" w:hAnsi="Calibri" w:cs="Calibri"/>
          <w:b/>
          <w:bCs/>
          <w:sz w:val="22"/>
          <w:szCs w:val="22"/>
        </w:rPr>
        <w:t>Human ESCs</w:t>
      </w:r>
      <w:r w:rsidRPr="007139CC">
        <w:rPr>
          <w:rStyle w:val="eop"/>
          <w:rFonts w:ascii="Calibri" w:eastAsiaTheme="majorEastAsia" w:hAnsi="Calibri" w:cs="Calibri"/>
          <w:b/>
          <w:bCs/>
          <w:sz w:val="22"/>
          <w:szCs w:val="22"/>
        </w:rPr>
        <w:t> </w:t>
      </w:r>
    </w:p>
    <w:p w14:paraId="064299EB" w14:textId="188AC20B" w:rsidR="007139CC" w:rsidRPr="007139CC" w:rsidRDefault="00B8764F" w:rsidP="00B8764F">
      <w:pPr>
        <w:pStyle w:val="paragraph"/>
        <w:spacing w:before="0" w:beforeAutospacing="0" w:after="0" w:afterAutospacing="0"/>
        <w:jc w:val="both"/>
        <w:textAlignment w:val="baseline"/>
        <w:rPr>
          <w:rFonts w:ascii="Calibri" w:hAnsi="Calibri" w:cs="Calibri"/>
          <w:sz w:val="22"/>
          <w:szCs w:val="22"/>
        </w:rPr>
      </w:pPr>
      <w:r>
        <w:rPr>
          <w:rStyle w:val="normaltextrun"/>
          <w:rFonts w:ascii="Calibri" w:eastAsiaTheme="majorEastAsia" w:hAnsi="Calibri" w:cs="Calibri"/>
          <w:sz w:val="22"/>
          <w:szCs w:val="22"/>
        </w:rPr>
        <w:t>The</w:t>
      </w:r>
      <w:r w:rsidR="007139CC" w:rsidRPr="007139CC">
        <w:rPr>
          <w:rStyle w:val="normaltextrun"/>
          <w:rFonts w:ascii="Calibri" w:eastAsiaTheme="majorEastAsia" w:hAnsi="Calibri" w:cs="Calibri"/>
          <w:sz w:val="22"/>
          <w:szCs w:val="22"/>
        </w:rPr>
        <w:t> </w:t>
      </w:r>
      <w:r>
        <w:rPr>
          <w:rStyle w:val="normaltextrun"/>
          <w:rFonts w:ascii="Calibri" w:eastAsiaTheme="majorEastAsia" w:hAnsi="Calibri" w:cs="Calibri"/>
          <w:sz w:val="22"/>
          <w:szCs w:val="22"/>
        </w:rPr>
        <w:t>h</w:t>
      </w:r>
      <w:r w:rsidR="007139CC" w:rsidRPr="007139CC">
        <w:rPr>
          <w:rStyle w:val="normaltextrun"/>
          <w:rFonts w:ascii="Calibri" w:eastAsiaTheme="majorEastAsia" w:hAnsi="Calibri" w:cs="Calibri"/>
          <w:sz w:val="22"/>
          <w:szCs w:val="22"/>
        </w:rPr>
        <w:t>ES</w:t>
      </w:r>
      <w:r>
        <w:rPr>
          <w:rStyle w:val="normaltextrun"/>
          <w:rFonts w:ascii="Calibri" w:eastAsiaTheme="majorEastAsia" w:hAnsi="Calibri" w:cs="Calibri"/>
          <w:sz w:val="22"/>
          <w:szCs w:val="22"/>
        </w:rPr>
        <w:t>C</w:t>
      </w:r>
      <w:r w:rsidR="007139CC" w:rsidRPr="007139CC">
        <w:rPr>
          <w:rStyle w:val="normaltextrun"/>
          <w:rFonts w:ascii="Calibri" w:eastAsiaTheme="majorEastAsia" w:hAnsi="Calibri" w:cs="Calibri"/>
          <w:sz w:val="22"/>
          <w:szCs w:val="22"/>
        </w:rPr>
        <w:t xml:space="preserve"> line</w:t>
      </w:r>
      <w:r>
        <w:rPr>
          <w:rStyle w:val="normaltextrun"/>
          <w:rFonts w:ascii="Calibri" w:eastAsiaTheme="majorEastAsia" w:hAnsi="Calibri" w:cs="Calibri"/>
          <w:sz w:val="22"/>
          <w:szCs w:val="22"/>
        </w:rPr>
        <w:t xml:space="preserve"> </w:t>
      </w:r>
      <w:r w:rsidR="007139CC" w:rsidRPr="007139CC">
        <w:rPr>
          <w:rStyle w:val="normaltextrun"/>
          <w:rFonts w:ascii="Calibri" w:eastAsiaTheme="majorEastAsia" w:hAnsi="Calibri" w:cs="Calibri"/>
          <w:sz w:val="22"/>
          <w:szCs w:val="22"/>
        </w:rPr>
        <w:t>H9 (WA09) was obtained from WiCell</w:t>
      </w:r>
      <w:r w:rsidR="007139CC">
        <w:rPr>
          <w:rStyle w:val="normaltextrun"/>
          <w:rFonts w:ascii="Calibri" w:eastAsiaTheme="majorEastAsia" w:hAnsi="Calibri" w:cs="Calibri"/>
          <w:sz w:val="22"/>
          <w:szCs w:val="22"/>
        </w:rPr>
        <w:t>, along with</w:t>
      </w:r>
      <w:r w:rsidR="007139CC" w:rsidRPr="007139CC">
        <w:rPr>
          <w:rStyle w:val="normaltextrun"/>
          <w:rFonts w:ascii="Calibri" w:eastAsiaTheme="majorEastAsia" w:hAnsi="Calibri" w:cs="Calibri"/>
          <w:sz w:val="22"/>
          <w:szCs w:val="22"/>
        </w:rPr>
        <w:t> documentation confirming cell identity. STR DNA profiling for H9 (WA09) further confirmed the identity of this line in our laboratory. The cell line was expanded and banked on arrival</w:t>
      </w:r>
      <w:r w:rsidR="007139CC">
        <w:rPr>
          <w:rStyle w:val="normaltextrun"/>
          <w:rFonts w:ascii="Calibri" w:eastAsiaTheme="majorEastAsia" w:hAnsi="Calibri" w:cs="Calibri"/>
          <w:sz w:val="22"/>
          <w:szCs w:val="22"/>
        </w:rPr>
        <w:t xml:space="preserve">. Prior to experiments, </w:t>
      </w:r>
      <w:r w:rsidR="007139CC" w:rsidRPr="007139CC">
        <w:rPr>
          <w:rStyle w:val="normaltextrun"/>
          <w:rFonts w:ascii="Calibri" w:eastAsiaTheme="majorEastAsia" w:hAnsi="Calibri" w:cs="Calibri"/>
          <w:sz w:val="22"/>
          <w:szCs w:val="22"/>
        </w:rPr>
        <w:t>a representative lot of the cell line was thawed and tested for viability to ensure sterility and absence of mycoplasma contamination. Sterility testing was performed by directly inoculating the conditioned medium; no contamination was observed. Mycoplasma testing was carried out by DAPI staining fixed cultures using the MycoAlert mycoplasma detection kit (Lonza). We confirmed that the cell lines used in this study were free of mycoplasma and other microorganisms. H9 (WA09) hES cells were supplied at passage 24, the cells were thawed, and cell banks prepared in passage 29. For experiments, the cells were used between passages 29 and 50. </w:t>
      </w:r>
      <w:r w:rsidR="007139CC" w:rsidRPr="007139CC">
        <w:rPr>
          <w:rStyle w:val="eop"/>
          <w:rFonts w:ascii="Calibri" w:eastAsiaTheme="majorEastAsia" w:hAnsi="Calibri" w:cs="Calibri"/>
          <w:sz w:val="22"/>
          <w:szCs w:val="22"/>
        </w:rPr>
        <w:t> </w:t>
      </w:r>
    </w:p>
    <w:p w14:paraId="44178145" w14:textId="77777777" w:rsidR="007139CC" w:rsidRPr="007139CC" w:rsidRDefault="007139CC" w:rsidP="007139CC">
      <w:pPr>
        <w:pStyle w:val="paragraph"/>
        <w:spacing w:before="0" w:beforeAutospacing="0" w:after="0" w:afterAutospacing="0"/>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54C7170C" w14:textId="77777777" w:rsidR="007139CC" w:rsidRPr="007139CC" w:rsidRDefault="007139CC" w:rsidP="007139CC">
      <w:pPr>
        <w:pStyle w:val="paragraph"/>
        <w:spacing w:before="0" w:beforeAutospacing="0" w:after="0" w:afterAutospacing="0"/>
        <w:jc w:val="both"/>
        <w:textAlignment w:val="baseline"/>
        <w:rPr>
          <w:rFonts w:ascii="Calibri" w:hAnsi="Calibri" w:cs="Calibri"/>
          <w:b/>
          <w:bCs/>
          <w:sz w:val="22"/>
          <w:szCs w:val="22"/>
        </w:rPr>
      </w:pPr>
      <w:r w:rsidRPr="007139CC">
        <w:rPr>
          <w:rStyle w:val="normaltextrun"/>
          <w:rFonts w:ascii="Calibri" w:eastAsiaTheme="majorEastAsia" w:hAnsi="Calibri" w:cs="Calibri"/>
          <w:b/>
          <w:bCs/>
          <w:sz w:val="22"/>
          <w:szCs w:val="22"/>
        </w:rPr>
        <w:t>hESC culture and differentiation</w:t>
      </w:r>
      <w:r w:rsidRPr="007139CC">
        <w:rPr>
          <w:rStyle w:val="eop"/>
          <w:rFonts w:ascii="Calibri" w:eastAsiaTheme="majorEastAsia" w:hAnsi="Calibri" w:cs="Calibri"/>
          <w:b/>
          <w:bCs/>
          <w:sz w:val="22"/>
          <w:szCs w:val="22"/>
        </w:rPr>
        <w:t> </w:t>
      </w:r>
    </w:p>
    <w:p w14:paraId="362762F3" w14:textId="7A515091" w:rsidR="00B8764F"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hESC (H9) were maintained as feeder-free cultures in TeSR media (from the School of Life Sciences iPSC facility) supplemented with bFGF (30 ng/mL, Peprotech, Cat. No. 100-18B) and Noggin (10 ng/ml, Peprotech, Cat. No. 120–10C) on Geltrex matrix-coated plates (10 μg/cm</w:t>
      </w:r>
      <w:r w:rsidRPr="007139CC">
        <w:rPr>
          <w:rStyle w:val="normaltextrun"/>
          <w:rFonts w:ascii="Calibri" w:eastAsiaTheme="majorEastAsia" w:hAnsi="Calibri" w:cs="Calibri"/>
          <w:sz w:val="22"/>
          <w:szCs w:val="22"/>
          <w:vertAlign w:val="superscript"/>
        </w:rPr>
        <w:t>2</w:t>
      </w:r>
      <w:r w:rsidRPr="007139CC">
        <w:rPr>
          <w:rStyle w:val="normaltextrun"/>
          <w:rFonts w:ascii="Calibri" w:eastAsiaTheme="majorEastAsia" w:hAnsi="Calibri" w:cs="Calibri"/>
          <w:sz w:val="22"/>
          <w:szCs w:val="22"/>
        </w:rPr>
        <w:t xml:space="preserve">, Life Technologies, Cat. No. A1413302), and enzymatically passaged using TryPLE select (Thermofisher, Cat. No. 12563011). For PSC passaging, the medium was supplemented with Rho kinase inhibitor Y-27632 (10 mM, Tocris, Cat. No. 1254). For differentiation </w:t>
      </w:r>
      <w:r w:rsidR="00B8764F" w:rsidRPr="007139CC">
        <w:rPr>
          <w:rStyle w:val="normaltextrun"/>
          <w:rFonts w:ascii="Calibri" w:eastAsiaTheme="majorEastAsia" w:hAnsi="Calibri" w:cs="Calibri"/>
          <w:sz w:val="22"/>
          <w:szCs w:val="22"/>
        </w:rPr>
        <w:t>assays, hES</w:t>
      </w:r>
      <w:r w:rsidR="00B8764F">
        <w:rPr>
          <w:rStyle w:val="normaltextrun"/>
          <w:rFonts w:ascii="Calibri" w:eastAsiaTheme="majorEastAsia" w:hAnsi="Calibri" w:cs="Calibri"/>
          <w:sz w:val="22"/>
          <w:szCs w:val="22"/>
        </w:rPr>
        <w:t xml:space="preserve">Cs </w:t>
      </w:r>
      <w:r w:rsidRPr="007139CC">
        <w:rPr>
          <w:rStyle w:val="normaltextrun"/>
          <w:rFonts w:ascii="Calibri" w:eastAsiaTheme="majorEastAsia" w:hAnsi="Calibri" w:cs="Calibri"/>
          <w:sz w:val="22"/>
          <w:szCs w:val="22"/>
        </w:rPr>
        <w:t>were seeded at 40,000 cells/cm2 with TeSR media (from the iPSC facility) supplemented with Y-27632 (10 μM, Tocris) on a Geltrex-coated plate (20 μg/cm2, Life Technologies) (in both 6-well plates and ibidis for imaging). Cells were then differentiated for 3 days in N2B27 supplemented with 3 µM Chiron99021 (Tocris, Cat. No. 4953) and 20 ng/ml bFGF (PeproTech, Cat. No. 100-18B) for 48 hours, followed by the addition of 50 ng/ml Noggin (Peprotech, Cat. No. 120–10C) and 10 ng/ml SB431542 (Tocris, Cat. No. 1614) for an extra 24 hours to generate NMP-like cells (protocol adapted from Verrier et al., 2018). All work with hESCs was undertaken with the approval of the UK Stem Cell Bank steering committee (license number SCSC14-29).</w:t>
      </w:r>
      <w:r w:rsidRPr="007139CC">
        <w:rPr>
          <w:rStyle w:val="eop"/>
          <w:rFonts w:ascii="Calibri" w:eastAsiaTheme="majorEastAsia" w:hAnsi="Calibri" w:cs="Calibri"/>
          <w:sz w:val="22"/>
          <w:szCs w:val="22"/>
        </w:rPr>
        <w:t> </w:t>
      </w:r>
    </w:p>
    <w:p w14:paraId="510936B1" w14:textId="5240FA56" w:rsidR="007139CC" w:rsidRPr="007139CC" w:rsidRDefault="00B8764F" w:rsidP="007139CC">
      <w:pPr>
        <w:pStyle w:val="paragraph"/>
        <w:spacing w:before="0" w:beforeAutospacing="0" w:after="0" w:afterAutospacing="0"/>
        <w:jc w:val="both"/>
        <w:textAlignment w:val="baseline"/>
        <w:rPr>
          <w:rFonts w:ascii="Calibri" w:hAnsi="Calibri" w:cs="Calibri"/>
          <w:sz w:val="22"/>
          <w:szCs w:val="22"/>
        </w:rPr>
      </w:pPr>
      <w:r>
        <w:rPr>
          <w:rFonts w:ascii="Calibri" w:hAnsi="Calibri" w:cs="Calibri"/>
          <w:sz w:val="22"/>
          <w:szCs w:val="22"/>
        </w:rPr>
        <w:tab/>
      </w:r>
      <w:r w:rsidR="007139CC" w:rsidRPr="007139CC">
        <w:rPr>
          <w:rStyle w:val="normaltextrun"/>
          <w:rFonts w:ascii="Calibri" w:eastAsiaTheme="majorEastAsia" w:hAnsi="Calibri" w:cs="Calibri"/>
          <w:sz w:val="22"/>
          <w:szCs w:val="22"/>
        </w:rPr>
        <w:t xml:space="preserve">For </w:t>
      </w:r>
      <w:r>
        <w:rPr>
          <w:rStyle w:val="normaltextrun"/>
          <w:rFonts w:ascii="Calibri" w:eastAsiaTheme="majorEastAsia" w:hAnsi="Calibri" w:cs="Calibri"/>
          <w:sz w:val="22"/>
          <w:szCs w:val="22"/>
        </w:rPr>
        <w:t xml:space="preserve">MEK </w:t>
      </w:r>
      <w:r w:rsidR="007139CC" w:rsidRPr="007139CC">
        <w:rPr>
          <w:rStyle w:val="normaltextrun"/>
          <w:rFonts w:ascii="Calibri" w:eastAsiaTheme="majorEastAsia" w:hAnsi="Calibri" w:cs="Calibri"/>
          <w:sz w:val="22"/>
          <w:szCs w:val="22"/>
        </w:rPr>
        <w:t>inhibition experiments, cells were treated at day 3 of differentiation, corresponding to the NMP</w:t>
      </w:r>
      <w:r>
        <w:rPr>
          <w:rStyle w:val="normaltextrun"/>
          <w:rFonts w:ascii="Calibri" w:eastAsiaTheme="majorEastAsia" w:hAnsi="Calibri" w:cs="Calibri"/>
          <w:sz w:val="22"/>
          <w:szCs w:val="22"/>
        </w:rPr>
        <w:t>-like</w:t>
      </w:r>
      <w:r w:rsidR="007139CC" w:rsidRPr="007139CC">
        <w:rPr>
          <w:rStyle w:val="normaltextrun"/>
          <w:rFonts w:ascii="Calibri" w:eastAsiaTheme="majorEastAsia" w:hAnsi="Calibri" w:cs="Calibri"/>
          <w:sz w:val="22"/>
          <w:szCs w:val="22"/>
        </w:rPr>
        <w:t xml:space="preserve"> stage. Cultures were exposed to the MEK1/2 inhibitor PD0325901</w:t>
      </w:r>
      <w:r>
        <w:rPr>
          <w:rStyle w:val="normaltextrun"/>
          <w:rFonts w:ascii="Calibri" w:eastAsiaTheme="majorEastAsia" w:hAnsi="Calibri" w:cs="Calibri"/>
          <w:sz w:val="22"/>
          <w:szCs w:val="22"/>
        </w:rPr>
        <w:t xml:space="preserve"> in DMSO</w:t>
      </w:r>
      <w:r w:rsidR="007139CC" w:rsidRPr="007139CC">
        <w:rPr>
          <w:rStyle w:val="normaltextrun"/>
          <w:rFonts w:ascii="Calibri" w:eastAsiaTheme="majorEastAsia" w:hAnsi="Calibri" w:cs="Calibri"/>
          <w:sz w:val="22"/>
          <w:szCs w:val="22"/>
        </w:rPr>
        <w:t xml:space="preserve"> (3 µM) for 3 hours or an equivalent volume of DMSO vehicle control. Five independent biological replicates, derived from separate NMP differentiation experiments, were collected for downstream phosphoproteomic and total proteome analysis as well as </w:t>
      </w:r>
      <w:r>
        <w:rPr>
          <w:rStyle w:val="normaltextrun"/>
          <w:rFonts w:ascii="Calibri" w:eastAsiaTheme="majorEastAsia" w:hAnsi="Calibri" w:cs="Calibri"/>
          <w:sz w:val="22"/>
          <w:szCs w:val="22"/>
        </w:rPr>
        <w:t xml:space="preserve">flow cytometry and </w:t>
      </w:r>
      <w:r w:rsidR="007139CC" w:rsidRPr="007139CC">
        <w:rPr>
          <w:rStyle w:val="normaltextrun"/>
          <w:rFonts w:ascii="Calibri" w:eastAsiaTheme="majorEastAsia" w:hAnsi="Calibri" w:cs="Calibri"/>
          <w:sz w:val="22"/>
          <w:szCs w:val="22"/>
        </w:rPr>
        <w:t>RNA extraction for qPCR.</w:t>
      </w:r>
      <w:r w:rsidR="007139CC" w:rsidRPr="007139CC">
        <w:rPr>
          <w:rStyle w:val="eop"/>
          <w:rFonts w:ascii="Calibri" w:eastAsiaTheme="majorEastAsia" w:hAnsi="Calibri" w:cs="Calibri"/>
          <w:color w:val="0078D4"/>
          <w:sz w:val="22"/>
          <w:szCs w:val="22"/>
        </w:rPr>
        <w:t> </w:t>
      </w:r>
    </w:p>
    <w:p w14:paraId="6983F9F1"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color w:val="0078D4"/>
          <w:sz w:val="22"/>
          <w:szCs w:val="22"/>
        </w:rPr>
        <w:t> </w:t>
      </w:r>
    </w:p>
    <w:p w14:paraId="071883FF"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Quantitative total and phospho-proteomics </w:t>
      </w:r>
      <w:r w:rsidRPr="007139CC">
        <w:rPr>
          <w:rStyle w:val="eop"/>
          <w:rFonts w:ascii="Calibri" w:eastAsiaTheme="majorEastAsia" w:hAnsi="Calibri" w:cs="Calibri"/>
          <w:sz w:val="22"/>
          <w:szCs w:val="22"/>
        </w:rPr>
        <w:t> </w:t>
      </w:r>
    </w:p>
    <w:p w14:paraId="528C8143" w14:textId="77777777" w:rsidR="007139CC" w:rsidRPr="007139CC" w:rsidRDefault="007139CC" w:rsidP="007139CC">
      <w:pPr>
        <w:pStyle w:val="paragraph"/>
        <w:spacing w:before="0" w:beforeAutospacing="0" w:after="0" w:afterAutospacing="0"/>
        <w:textAlignment w:val="baseline"/>
        <w:rPr>
          <w:rFonts w:ascii="Calibri" w:hAnsi="Calibri" w:cs="Calibri"/>
          <w:sz w:val="22"/>
          <w:szCs w:val="22"/>
        </w:rPr>
      </w:pPr>
      <w:r w:rsidRPr="007139CC">
        <w:rPr>
          <w:rStyle w:val="normaltextrun"/>
          <w:rFonts w:ascii="Calibri" w:eastAsiaTheme="majorEastAsia" w:hAnsi="Calibri" w:cs="Calibri"/>
          <w:sz w:val="22"/>
          <w:szCs w:val="22"/>
        </w:rPr>
        <w:t>Quantitative total proteomic and phosphoproteomic analyses were performed essentially as described in Fernandez-Alonso et al. (2017). A single protein lysate was generated from each biological replicate and subsequently divided for total proteome and phosphoproteome workflows.</w:t>
      </w:r>
      <w:r w:rsidRPr="007139CC">
        <w:rPr>
          <w:rStyle w:val="eop"/>
          <w:rFonts w:ascii="Calibri" w:eastAsiaTheme="majorEastAsia" w:hAnsi="Calibri" w:cs="Calibri"/>
          <w:sz w:val="22"/>
          <w:szCs w:val="22"/>
        </w:rPr>
        <w:t> </w:t>
      </w:r>
    </w:p>
    <w:p w14:paraId="7347C6F2" w14:textId="77777777" w:rsidR="007139CC" w:rsidRPr="007139CC" w:rsidRDefault="007139CC" w:rsidP="007139CC">
      <w:pPr>
        <w:pStyle w:val="paragraph"/>
        <w:spacing w:before="0" w:beforeAutospacing="0" w:after="0" w:afterAutospacing="0"/>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23A8296D" w14:textId="77777777" w:rsidR="007139CC" w:rsidRPr="007139CC" w:rsidRDefault="007139CC" w:rsidP="007139CC">
      <w:pPr>
        <w:pStyle w:val="paragraph"/>
        <w:spacing w:before="0" w:beforeAutospacing="0" w:after="0" w:afterAutospacing="0"/>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Protein extraction and digestion</w:t>
      </w:r>
      <w:r w:rsidRPr="007139CC">
        <w:rPr>
          <w:rStyle w:val="eop"/>
          <w:rFonts w:ascii="Calibri" w:eastAsiaTheme="majorEastAsia" w:hAnsi="Calibri" w:cs="Calibri"/>
          <w:sz w:val="22"/>
          <w:szCs w:val="22"/>
        </w:rPr>
        <w:t> </w:t>
      </w:r>
    </w:p>
    <w:p w14:paraId="0DFA0498" w14:textId="6E99DFAD"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 xml:space="preserve">NMP cells were washed in PBS and lysed in urea lysis buffer (8.5M urea and 50 mM ammonium bicarbonate (pH 8.0) supplemented with protease inhibitors). Benzonase® endonuclease was added in a 1:100 dilution to hydrolyse nucleic acids. Samples were transferred to a Thermomixer (600 rpm) at RT for 15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The samples were then sonicated using the probe sonicator SONICS Vibra Cells with two rounds of 30 seconds and an amplitude of 70%. The lysates were centrifuged at 16,000 rpm for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4°C, and supernatants were collected. </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 xml:space="preserve">Cell lysates were denatured by incubating the sample at 37°C for 30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shaking </w:t>
      </w:r>
      <w:r w:rsidRPr="007139CC">
        <w:rPr>
          <w:rStyle w:val="normaltextrun"/>
          <w:rFonts w:ascii="Calibri" w:eastAsiaTheme="majorEastAsia" w:hAnsi="Calibri" w:cs="Calibri"/>
          <w:sz w:val="22"/>
          <w:szCs w:val="22"/>
        </w:rPr>
        <w:lastRenderedPageBreak/>
        <w:t>at 600 rpm. Then, lysates were centrifuged, and Iodoacetamide was added to the lysates at a final concentration of 10 mM, followed by another 15-minute incubation while shaking and covered with aluminium foil. Protein concentration was determined by the BCA protein assay.</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After protein quantification, 10 mg of protein were aliquoted for phosphoproteomic analysis and 200 µg for total proteomic analysis. Samples were supplemented with extra lysis buffer to have the same volume in all samples. DTT was added to a final concentration of 5 mM.</w:t>
      </w:r>
      <w:r w:rsidRPr="007139CC">
        <w:rPr>
          <w:rStyle w:val="eop"/>
          <w:rFonts w:ascii="Calibri" w:eastAsiaTheme="majorEastAsia" w:hAnsi="Calibri" w:cs="Calibri"/>
          <w:sz w:val="22"/>
          <w:szCs w:val="22"/>
        </w:rPr>
        <w:t> </w:t>
      </w:r>
      <w:r>
        <w:rPr>
          <w:rFonts w:ascii="Calibri" w:hAnsi="Calibri" w:cs="Calibri"/>
          <w:sz w:val="22"/>
          <w:szCs w:val="22"/>
        </w:rPr>
        <w:t xml:space="preserve"> </w:t>
      </w:r>
      <w:r w:rsidRPr="007139CC">
        <w:rPr>
          <w:rStyle w:val="normaltextrun"/>
          <w:rFonts w:ascii="Calibri" w:eastAsiaTheme="majorEastAsia" w:hAnsi="Calibri" w:cs="Calibri"/>
          <w:sz w:val="22"/>
          <w:szCs w:val="22"/>
        </w:rPr>
        <w:t>Next, Lys-C (Promega) was freshly prepared before use and added at a ratio of enzyme to protein of 1:200. Samples were left shaking for 4 hours at 30°C. After 4 hours of incubation, the samples were diluted with 50 mM Tris-HCl (pH 8.0) until a final concentration of urea of 1.5 M was achieved. Subsequent digestion was performed by adding trypsin (Promega) from a freshly prepared solution at a ratio of enzyme to protein of 1:50. The samples were then incubated in a Thermomixer shaking at 800 rpm at RT overnight.</w:t>
      </w:r>
      <w:r w:rsidRPr="007139CC">
        <w:rPr>
          <w:rStyle w:val="eop"/>
          <w:rFonts w:ascii="Calibri" w:eastAsiaTheme="majorEastAsia" w:hAnsi="Calibri" w:cs="Calibri"/>
          <w:sz w:val="22"/>
          <w:szCs w:val="22"/>
        </w:rPr>
        <w:t> </w:t>
      </w:r>
    </w:p>
    <w:p w14:paraId="36CCF02F" w14:textId="7F12B7B5" w:rsidR="007139CC" w:rsidRDefault="007139CC" w:rsidP="007139CC">
      <w:pPr>
        <w:pStyle w:val="paragraph"/>
        <w:spacing w:before="0" w:beforeAutospacing="0" w:after="0" w:afterAutospacing="0"/>
        <w:jc w:val="both"/>
        <w:textAlignment w:val="baseline"/>
        <w:rPr>
          <w:rStyle w:val="eop"/>
          <w:rFonts w:ascii="Calibri" w:eastAsiaTheme="majorEastAsia" w:hAnsi="Calibri" w:cs="Calibri"/>
          <w:sz w:val="22"/>
          <w:szCs w:val="22"/>
        </w:rPr>
      </w:pPr>
      <w:r w:rsidRPr="007139CC">
        <w:rPr>
          <w:rStyle w:val="normaltextrun"/>
          <w:rFonts w:ascii="Calibri" w:eastAsiaTheme="majorEastAsia" w:hAnsi="Calibri" w:cs="Calibri"/>
          <w:sz w:val="22"/>
          <w:szCs w:val="22"/>
        </w:rPr>
        <w:t>Trypsin digestion was quenched by adding trifluoroacetic acid (TFA – Alpha Laboratories) to a final concentration of 1%, followed by centrifugation. The quenched lysates were desalted using a C18 SPE cartridge (Waters).</w:t>
      </w:r>
      <w:r w:rsidRPr="007139CC">
        <w:rPr>
          <w:rStyle w:val="eop"/>
          <w:rFonts w:ascii="Calibri" w:eastAsiaTheme="majorEastAsia" w:hAnsi="Calibri" w:cs="Calibri"/>
          <w:sz w:val="22"/>
          <w:szCs w:val="22"/>
        </w:rPr>
        <w:t> </w:t>
      </w:r>
    </w:p>
    <w:p w14:paraId="448D7E2A" w14:textId="6F271C2E" w:rsidR="007139CC" w:rsidRPr="007139CC" w:rsidRDefault="007139CC" w:rsidP="007139CC">
      <w:pPr>
        <w:pStyle w:val="paragraph"/>
        <w:spacing w:before="0" w:beforeAutospacing="0" w:after="0" w:afterAutospacing="0"/>
        <w:jc w:val="both"/>
        <w:textAlignment w:val="baseline"/>
        <w:rPr>
          <w:rFonts w:ascii="Calibri" w:eastAsiaTheme="majorEastAsia" w:hAnsi="Calibri" w:cs="Calibri"/>
          <w:sz w:val="22"/>
          <w:szCs w:val="22"/>
        </w:rPr>
      </w:pPr>
      <w:r>
        <w:rPr>
          <w:rStyle w:val="eop"/>
          <w:rFonts w:ascii="Calibri" w:eastAsiaTheme="majorEastAsia" w:hAnsi="Calibri" w:cs="Calibri"/>
          <w:sz w:val="22"/>
          <w:szCs w:val="22"/>
        </w:rPr>
        <w:tab/>
      </w:r>
      <w:r w:rsidRPr="007139CC">
        <w:rPr>
          <w:rStyle w:val="normaltextrun"/>
          <w:rFonts w:ascii="Calibri" w:eastAsiaTheme="majorEastAsia" w:hAnsi="Calibri" w:cs="Calibri"/>
          <w:sz w:val="22"/>
          <w:szCs w:val="22"/>
        </w:rPr>
        <w:t>At this stage, samples designated for total proteomic analysis proceeded directly to TMT labelling. Samples designated for phosphoproteomic analysis were dried by vacuum centrifugation and subjected to phosphopeptide enrichment as described below.</w:t>
      </w:r>
      <w:r w:rsidRPr="007139CC">
        <w:rPr>
          <w:rStyle w:val="eop"/>
          <w:rFonts w:ascii="Calibri" w:eastAsiaTheme="majorEastAsia" w:hAnsi="Calibri" w:cs="Calibri"/>
          <w:sz w:val="22"/>
          <w:szCs w:val="22"/>
        </w:rPr>
        <w:t> </w:t>
      </w:r>
    </w:p>
    <w:p w14:paraId="52E6201A" w14:textId="77777777" w:rsidR="007139CC" w:rsidRDefault="007139CC" w:rsidP="007139CC">
      <w:pPr>
        <w:pStyle w:val="paragraph"/>
        <w:spacing w:before="0" w:beforeAutospacing="0" w:after="0" w:afterAutospacing="0"/>
        <w:jc w:val="both"/>
        <w:textAlignment w:val="baseline"/>
        <w:rPr>
          <w:rStyle w:val="normaltextrun"/>
          <w:rFonts w:ascii="Calibri" w:eastAsiaTheme="majorEastAsia" w:hAnsi="Calibri" w:cs="Calibri"/>
          <w:b/>
          <w:bCs/>
          <w:sz w:val="22"/>
          <w:szCs w:val="22"/>
        </w:rPr>
      </w:pPr>
    </w:p>
    <w:p w14:paraId="032DF0F2" w14:textId="42CE2179"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Phospho</w:t>
      </w:r>
      <w:r>
        <w:rPr>
          <w:rStyle w:val="normaltextrun"/>
          <w:rFonts w:ascii="Calibri" w:eastAsiaTheme="majorEastAsia" w:hAnsi="Calibri" w:cs="Calibri"/>
          <w:b/>
          <w:bCs/>
          <w:sz w:val="22"/>
          <w:szCs w:val="22"/>
        </w:rPr>
        <w:t>-</w:t>
      </w:r>
      <w:r w:rsidRPr="007139CC">
        <w:rPr>
          <w:rStyle w:val="normaltextrun"/>
          <w:rFonts w:ascii="Calibri" w:eastAsiaTheme="majorEastAsia" w:hAnsi="Calibri" w:cs="Calibri"/>
          <w:b/>
          <w:bCs/>
          <w:sz w:val="22"/>
          <w:szCs w:val="22"/>
        </w:rPr>
        <w:t>peptide enrichment</w:t>
      </w:r>
      <w:r w:rsidRPr="007139CC">
        <w:rPr>
          <w:rStyle w:val="eop"/>
          <w:rFonts w:ascii="Calibri" w:eastAsiaTheme="majorEastAsia" w:hAnsi="Calibri" w:cs="Calibri"/>
          <w:sz w:val="22"/>
          <w:szCs w:val="22"/>
        </w:rPr>
        <w:t> </w:t>
      </w:r>
    </w:p>
    <w:p w14:paraId="4F2707FC" w14:textId="4ED3AD45"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Following digestion and desalting, dried peptide samples corresponding to 10 mg protein input were processed for TiO₂-based phosphopeptide enrichment.</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Fresh buffers were prepared: Binding buffer (50% acetonitrile, 2 M lactic acid), Washing buffer (50% acetonitrile, 0.1% TFA), Elution buffer I (10% ammonia) and Elution buffer II (50% ACN/5% ammonia).</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 xml:space="preserve">The desired amount of TiO₂ beads was weighed and transferred into a clean Eppendorf tube, and 1 ml of binding buffer was added. The TiO₂ slurry was left for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followed by centrifugation, and the supernatant was removed. Beads were resuspended with binding buffer and aliquoted into a clean Eppendorf tube.</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 xml:space="preserve">Then, 1 ml of binding buffer was added to the peptide sample and left to shake for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Samples were centrifuged, and the supernatant was transferred into the labelled tube containing TiO₂ beads. The mixture of peptide sample with TiO₂ beads was incubated for 45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while shaking. Tubes were centrifuged, and the supernatant was removed. After washing the beads with binding buffer, the TiO₂ pellet was further washed with washing buffer.</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Phosphopeptides were eluted from the TiO₂ beads using 10% ammonia. The eluate was snap-frozen on dry ice and dried by SpeedVac.</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Before starting, the C18 centrifuge column was activated with acetonitrile and equilibrated with 0.1% TFA. The phosphopeptide suspension sample was transferred into the column and centrifuged. The flow-through was reloaded onto the column and centrifuged again. Samples were snap-frozen and dried by SpeedVac and stored at -80°C until TMT labelling.</w:t>
      </w:r>
      <w:r w:rsidRPr="007139CC">
        <w:rPr>
          <w:rStyle w:val="eop"/>
          <w:rFonts w:ascii="Calibri" w:eastAsiaTheme="majorEastAsia" w:hAnsi="Calibri" w:cs="Calibri"/>
          <w:sz w:val="22"/>
          <w:szCs w:val="22"/>
        </w:rPr>
        <w:t> </w:t>
      </w:r>
    </w:p>
    <w:p w14:paraId="50BB1215" w14:textId="77777777" w:rsidR="007139CC" w:rsidRDefault="007139CC" w:rsidP="007139CC">
      <w:pPr>
        <w:pStyle w:val="paragraph"/>
        <w:spacing w:before="0" w:beforeAutospacing="0" w:after="0" w:afterAutospacing="0"/>
        <w:jc w:val="both"/>
        <w:textAlignment w:val="baseline"/>
        <w:rPr>
          <w:rStyle w:val="normaltextrun"/>
          <w:rFonts w:ascii="Calibri" w:eastAsiaTheme="majorEastAsia" w:hAnsi="Calibri" w:cs="Calibri"/>
          <w:b/>
          <w:bCs/>
          <w:sz w:val="22"/>
          <w:szCs w:val="22"/>
        </w:rPr>
      </w:pPr>
    </w:p>
    <w:p w14:paraId="276A3AAC" w14:textId="33B186EC"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TMT labelling and peptide fractionation (for total and phosphoproteome samples)</w:t>
      </w:r>
      <w:r w:rsidRPr="007139CC">
        <w:rPr>
          <w:rStyle w:val="eop"/>
          <w:rFonts w:ascii="Calibri" w:eastAsiaTheme="majorEastAsia" w:hAnsi="Calibri" w:cs="Calibri"/>
          <w:sz w:val="22"/>
          <w:szCs w:val="22"/>
        </w:rPr>
        <w:t> </w:t>
      </w:r>
    </w:p>
    <w:p w14:paraId="75378F99" w14:textId="21D09D78"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For both total proteome (200 µg input) and TiO₂-enriched phosphopeptide samples, TMT-10plex™ labelling (ThermoScientific™) was performed as follows:</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Once the TMT-10plex™ kit had been thawed, anhydrous acetonitrile was added. The appropriate TMT reagent was added to each separate sample. All TMT-labelled samples were then combined into a new tube and dried down.</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After conditioning and equilibrating the Sep-Pak C18 cartridge, the samples were loaded. After washing with 0.1% formic acid twice, samples were eluted with 80% ACN/0.1% formic acid using a gentle vacuum. Samples were snap-frozen and vacuum-dried.</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Samples were resuspended in high pH buffer (10 mM ammonium formate, pH 10) and collected in a 96-well plate. They were fractionated with 1 nmol of casein digest for 1 hour, and collected fractions were combined into one. Samples were snap-frozen and vacuum-</w:t>
      </w:r>
      <w:r w:rsidRPr="007139CC">
        <w:rPr>
          <w:rStyle w:val="normaltextrun"/>
          <w:rFonts w:ascii="Calibri" w:eastAsiaTheme="majorEastAsia" w:hAnsi="Calibri" w:cs="Calibri"/>
          <w:sz w:val="22"/>
          <w:szCs w:val="22"/>
        </w:rPr>
        <w:lastRenderedPageBreak/>
        <w:t>dried.</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After conditioning and equilibrating another C18 column (with ACN and 0.1% TFA), resuspended samples (with 1% TFA) were loaded onto the column. The column was washed with 0.1% formic acid, and samples were eluted with 80% ACN/0.1% formic acid into a clean tube. Samples were snap-frozen and vacuum-dried.</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Samples were resuspended with 0.1% formic acid, and peptide concentration was quantified using Nanodrop (Protein assay, λ224 nm). Then, 4 μl of peptide was aliquoted into an MS vial, topped up with 0.1% formic acid to 20 μl. Finally, 2 μg of peptide solution was injected into the MS analysis using the FT-FT (HCD-OT-MS2) method.</w:t>
      </w:r>
      <w:r w:rsidRPr="007139CC">
        <w:rPr>
          <w:rStyle w:val="eop"/>
          <w:rFonts w:ascii="Calibri" w:eastAsiaTheme="majorEastAsia" w:hAnsi="Calibri" w:cs="Calibri"/>
          <w:sz w:val="22"/>
          <w:szCs w:val="22"/>
        </w:rPr>
        <w:t> </w:t>
      </w:r>
    </w:p>
    <w:p w14:paraId="5310F3C4" w14:textId="77777777" w:rsidR="007139CC" w:rsidRDefault="007139CC" w:rsidP="007139CC">
      <w:pPr>
        <w:pStyle w:val="paragraph"/>
        <w:spacing w:before="0" w:beforeAutospacing="0" w:after="0" w:afterAutospacing="0"/>
        <w:jc w:val="both"/>
        <w:textAlignment w:val="baseline"/>
        <w:rPr>
          <w:rStyle w:val="normaltextrun"/>
          <w:rFonts w:ascii="Calibri" w:eastAsiaTheme="majorEastAsia" w:hAnsi="Calibri" w:cs="Calibri"/>
          <w:b/>
          <w:bCs/>
          <w:sz w:val="22"/>
          <w:szCs w:val="22"/>
        </w:rPr>
      </w:pPr>
    </w:p>
    <w:p w14:paraId="6F8CDBC3" w14:textId="5CD784DD" w:rsidR="007139CC" w:rsidRPr="00E931BD" w:rsidRDefault="007139CC" w:rsidP="007139CC">
      <w:pPr>
        <w:pStyle w:val="paragraph"/>
        <w:spacing w:before="0" w:beforeAutospacing="0" w:after="0" w:afterAutospacing="0"/>
        <w:jc w:val="both"/>
        <w:textAlignment w:val="baseline"/>
        <w:rPr>
          <w:rFonts w:ascii="Calibri" w:hAnsi="Calibri" w:cs="Calibri"/>
          <w:color w:val="156082" w:themeColor="accent1"/>
          <w:sz w:val="22"/>
          <w:szCs w:val="22"/>
        </w:rPr>
      </w:pPr>
      <w:r w:rsidRPr="00E931BD">
        <w:rPr>
          <w:rStyle w:val="normaltextrun"/>
          <w:rFonts w:ascii="Calibri" w:eastAsiaTheme="majorEastAsia" w:hAnsi="Calibri" w:cs="Calibri"/>
          <w:b/>
          <w:bCs/>
          <w:color w:val="156082" w:themeColor="accent1"/>
          <w:sz w:val="22"/>
          <w:szCs w:val="22"/>
        </w:rPr>
        <w:t xml:space="preserve">Proteomic data processing and statistical </w:t>
      </w:r>
      <w:commentRangeStart w:id="0"/>
      <w:r w:rsidRPr="00E931BD">
        <w:rPr>
          <w:rStyle w:val="normaltextrun"/>
          <w:rFonts w:ascii="Calibri" w:eastAsiaTheme="majorEastAsia" w:hAnsi="Calibri" w:cs="Calibri"/>
          <w:b/>
          <w:bCs/>
          <w:color w:val="156082" w:themeColor="accent1"/>
          <w:sz w:val="22"/>
          <w:szCs w:val="22"/>
        </w:rPr>
        <w:t>analysis</w:t>
      </w:r>
      <w:commentRangeEnd w:id="0"/>
      <w:r w:rsidR="00E931BD" w:rsidRPr="00E931BD">
        <w:rPr>
          <w:rStyle w:val="CommentReference"/>
          <w:rFonts w:ascii="Calibri" w:eastAsiaTheme="majorEastAsia" w:hAnsi="Calibri" w:cs="Calibri"/>
          <w:color w:val="156082" w:themeColor="accent1"/>
          <w:sz w:val="22"/>
          <w:szCs w:val="22"/>
        </w:rPr>
        <w:commentReference w:id="0"/>
      </w:r>
      <w:r w:rsidRPr="00E931BD">
        <w:rPr>
          <w:rStyle w:val="eop"/>
          <w:rFonts w:ascii="Calibri" w:eastAsiaTheme="majorEastAsia" w:hAnsi="Calibri" w:cs="Calibri"/>
          <w:color w:val="156082" w:themeColor="accent1"/>
          <w:sz w:val="22"/>
          <w:szCs w:val="22"/>
        </w:rPr>
        <w:t> </w:t>
      </w:r>
    </w:p>
    <w:p w14:paraId="3883CAD3" w14:textId="0F3362E8" w:rsidR="0094788E" w:rsidRDefault="007139CC" w:rsidP="007139CC">
      <w:pPr>
        <w:pStyle w:val="paragraph"/>
        <w:spacing w:before="0" w:beforeAutospacing="0" w:after="0" w:afterAutospacing="0"/>
        <w:jc w:val="both"/>
        <w:textAlignment w:val="baseline"/>
        <w:rPr>
          <w:rFonts w:ascii="Calibri" w:eastAsiaTheme="majorEastAsia" w:hAnsi="Calibri" w:cs="Calibri"/>
          <w:color w:val="156082" w:themeColor="accent1"/>
          <w:sz w:val="22"/>
          <w:szCs w:val="22"/>
        </w:rPr>
      </w:pPr>
      <w:r w:rsidRPr="00E931BD">
        <w:rPr>
          <w:rStyle w:val="normaltextrun"/>
          <w:rFonts w:ascii="Calibri" w:eastAsiaTheme="majorEastAsia" w:hAnsi="Calibri" w:cs="Calibri"/>
          <w:color w:val="156082" w:themeColor="accent1"/>
          <w:sz w:val="22"/>
          <w:szCs w:val="22"/>
        </w:rPr>
        <w:t>Raw data acquired on the Orbitrap Fusion were processed using MaxQuant for peptide identification and TMT-based quantification. The resulting protein intensity tables were analysed in Perseus for data filtering and exploratory analysis. Log</w:t>
      </w:r>
      <w:r w:rsidR="0094788E" w:rsidRPr="0094788E">
        <w:rPr>
          <w:rStyle w:val="normaltextrun"/>
          <w:rFonts w:ascii="Calibri" w:eastAsiaTheme="majorEastAsia" w:hAnsi="Calibri" w:cs="Calibri"/>
          <w:color w:val="156082" w:themeColor="accent1"/>
          <w:sz w:val="22"/>
          <w:szCs w:val="22"/>
          <w:vertAlign w:val="subscript"/>
        </w:rPr>
        <w:t>10</w:t>
      </w:r>
      <w:r w:rsidRPr="00E931BD">
        <w:rPr>
          <w:rStyle w:val="normaltextrun"/>
          <w:rFonts w:ascii="Calibri" w:eastAsiaTheme="majorEastAsia" w:hAnsi="Calibri" w:cs="Calibri"/>
          <w:color w:val="156082" w:themeColor="accent1"/>
          <w:sz w:val="22"/>
          <w:szCs w:val="22"/>
        </w:rPr>
        <w:t>-transformed intensities were filtered to remove contaminants</w:t>
      </w:r>
      <w:r w:rsidR="0094788E">
        <w:rPr>
          <w:rStyle w:val="normaltextrun"/>
          <w:rFonts w:ascii="Calibri" w:eastAsiaTheme="majorEastAsia" w:hAnsi="Calibri" w:cs="Calibri"/>
          <w:color w:val="156082" w:themeColor="accent1"/>
          <w:sz w:val="22"/>
          <w:szCs w:val="22"/>
        </w:rPr>
        <w:t>,</w:t>
      </w:r>
      <w:r w:rsidRPr="00E931BD">
        <w:rPr>
          <w:rStyle w:val="normaltextrun"/>
          <w:rFonts w:ascii="Calibri" w:eastAsiaTheme="majorEastAsia" w:hAnsi="Calibri" w:cs="Calibri"/>
          <w:color w:val="156082" w:themeColor="accent1"/>
          <w:sz w:val="22"/>
          <w:szCs w:val="22"/>
        </w:rPr>
        <w:t xml:space="preserve"> reverse hits</w:t>
      </w:r>
      <w:r w:rsidR="0094788E">
        <w:rPr>
          <w:rStyle w:val="normaltextrun"/>
          <w:rFonts w:ascii="Calibri" w:eastAsiaTheme="majorEastAsia" w:hAnsi="Calibri" w:cs="Calibri"/>
          <w:color w:val="156082" w:themeColor="accent1"/>
          <w:sz w:val="22"/>
          <w:szCs w:val="22"/>
        </w:rPr>
        <w:t>, and an additional filtering expression</w:t>
      </w:r>
      <w:r w:rsidR="001D63E4">
        <w:rPr>
          <w:rStyle w:val="normaltextrun"/>
          <w:rFonts w:ascii="Calibri" w:eastAsiaTheme="majorEastAsia" w:hAnsi="Calibri" w:cs="Calibri"/>
          <w:color w:val="156082" w:themeColor="accent1"/>
          <w:sz w:val="22"/>
          <w:szCs w:val="22"/>
        </w:rPr>
        <w:t>s</w:t>
      </w:r>
      <w:r w:rsidR="0094788E">
        <w:rPr>
          <w:rStyle w:val="normaltextrun"/>
          <w:rFonts w:ascii="Calibri" w:eastAsiaTheme="majorEastAsia" w:hAnsi="Calibri" w:cs="Calibri"/>
          <w:color w:val="156082" w:themeColor="accent1"/>
          <w:sz w:val="22"/>
          <w:szCs w:val="22"/>
        </w:rPr>
        <w:t xml:space="preserve"> </w:t>
      </w:r>
      <w:r w:rsidR="0094788E" w:rsidRPr="0094788E">
        <w:rPr>
          <w:rFonts w:ascii="Calibri" w:eastAsiaTheme="majorEastAsia" w:hAnsi="Calibri" w:cs="Calibri"/>
          <w:color w:val="156082" w:themeColor="accent1"/>
          <w:sz w:val="22"/>
          <w:szCs w:val="22"/>
        </w:rPr>
        <w:t xml:space="preserve">Razor + unique peptides &gt; 2 for proteins and Localization prob &gt; 0.75 for </w:t>
      </w:r>
      <w:r w:rsidR="001D63E4">
        <w:rPr>
          <w:rFonts w:ascii="Calibri" w:eastAsiaTheme="majorEastAsia" w:hAnsi="Calibri" w:cs="Calibri"/>
          <w:color w:val="156082" w:themeColor="accent1"/>
          <w:sz w:val="22"/>
          <w:szCs w:val="22"/>
        </w:rPr>
        <w:t>phosphorylation</w:t>
      </w:r>
      <w:r w:rsidR="0094788E" w:rsidRPr="0094788E">
        <w:rPr>
          <w:rFonts w:ascii="Calibri" w:eastAsiaTheme="majorEastAsia" w:hAnsi="Calibri" w:cs="Calibri"/>
          <w:color w:val="156082" w:themeColor="accent1"/>
          <w:sz w:val="22"/>
          <w:szCs w:val="22"/>
        </w:rPr>
        <w:t xml:space="preserve"> sites</w:t>
      </w:r>
      <w:r w:rsidR="0094788E">
        <w:rPr>
          <w:rFonts w:ascii="Calibri" w:eastAsiaTheme="majorEastAsia" w:hAnsi="Calibri" w:cs="Calibri"/>
          <w:color w:val="156082" w:themeColor="accent1"/>
          <w:sz w:val="22"/>
          <w:szCs w:val="22"/>
        </w:rPr>
        <w:t xml:space="preserve"> </w:t>
      </w:r>
      <w:r w:rsidR="001D63E4">
        <w:rPr>
          <w:rFonts w:ascii="Calibri" w:eastAsiaTheme="majorEastAsia" w:hAnsi="Calibri" w:cs="Calibri"/>
          <w:color w:val="156082" w:themeColor="accent1"/>
          <w:sz w:val="22"/>
          <w:szCs w:val="22"/>
        </w:rPr>
        <w:t>were</w:t>
      </w:r>
      <w:r w:rsidR="0094788E">
        <w:rPr>
          <w:rFonts w:ascii="Calibri" w:eastAsiaTheme="majorEastAsia" w:hAnsi="Calibri" w:cs="Calibri"/>
          <w:color w:val="156082" w:themeColor="accent1"/>
          <w:sz w:val="22"/>
          <w:szCs w:val="22"/>
        </w:rPr>
        <w:t xml:space="preserve"> applied.</w:t>
      </w:r>
    </w:p>
    <w:p w14:paraId="5982430A" w14:textId="77777777" w:rsidR="0094788E" w:rsidRDefault="0094788E" w:rsidP="007139CC">
      <w:pPr>
        <w:pStyle w:val="paragraph"/>
        <w:spacing w:before="0" w:beforeAutospacing="0" w:after="0" w:afterAutospacing="0"/>
        <w:jc w:val="both"/>
        <w:textAlignment w:val="baseline"/>
        <w:rPr>
          <w:rFonts w:ascii="Calibri" w:eastAsiaTheme="majorEastAsia" w:hAnsi="Calibri" w:cs="Calibri"/>
          <w:color w:val="156082" w:themeColor="accent1"/>
          <w:sz w:val="22"/>
          <w:szCs w:val="22"/>
        </w:rPr>
      </w:pPr>
    </w:p>
    <w:p w14:paraId="3E0C55C5" w14:textId="33510012" w:rsidR="0094788E" w:rsidRDefault="0094788E" w:rsidP="007139CC">
      <w:pPr>
        <w:pStyle w:val="paragraph"/>
        <w:spacing w:before="0" w:beforeAutospacing="0" w:after="0" w:afterAutospacing="0"/>
        <w:jc w:val="both"/>
        <w:textAlignment w:val="baseline"/>
        <w:rPr>
          <w:rFonts w:ascii="Calibri" w:eastAsiaTheme="majorEastAsia" w:hAnsi="Calibri" w:cs="Calibri"/>
          <w:color w:val="156082" w:themeColor="accent1"/>
          <w:sz w:val="22"/>
          <w:szCs w:val="22"/>
        </w:rPr>
      </w:pPr>
      <w:r>
        <w:rPr>
          <w:rFonts w:ascii="Calibri" w:eastAsiaTheme="majorEastAsia" w:hAnsi="Calibri" w:cs="Calibri"/>
          <w:color w:val="156082" w:themeColor="accent1"/>
          <w:sz w:val="22"/>
          <w:szCs w:val="22"/>
        </w:rPr>
        <w:t>Phopho</w:t>
      </w:r>
      <w:r w:rsidR="001D63E4">
        <w:rPr>
          <w:rFonts w:ascii="Calibri" w:eastAsiaTheme="majorEastAsia" w:hAnsi="Calibri" w:cs="Calibri"/>
          <w:color w:val="156082" w:themeColor="accent1"/>
          <w:sz w:val="22"/>
          <w:szCs w:val="22"/>
        </w:rPr>
        <w:t>rylation</w:t>
      </w:r>
      <w:r>
        <w:rPr>
          <w:rFonts w:ascii="Calibri" w:eastAsiaTheme="majorEastAsia" w:hAnsi="Calibri" w:cs="Calibri"/>
          <w:color w:val="156082" w:themeColor="accent1"/>
          <w:sz w:val="22"/>
          <w:szCs w:val="22"/>
        </w:rPr>
        <w:t xml:space="preserve"> sites and proteins from the total prote</w:t>
      </w:r>
      <w:r w:rsidR="0018037B">
        <w:rPr>
          <w:rFonts w:ascii="Calibri" w:eastAsiaTheme="majorEastAsia" w:hAnsi="Calibri" w:cs="Calibri"/>
          <w:color w:val="156082" w:themeColor="accent1"/>
          <w:sz w:val="22"/>
          <w:szCs w:val="22"/>
        </w:rPr>
        <w:t>ome</w:t>
      </w:r>
      <w:r>
        <w:rPr>
          <w:rFonts w:ascii="Calibri" w:eastAsiaTheme="majorEastAsia" w:hAnsi="Calibri" w:cs="Calibri"/>
          <w:color w:val="156082" w:themeColor="accent1"/>
          <w:sz w:val="22"/>
          <w:szCs w:val="22"/>
        </w:rPr>
        <w:t xml:space="preserve"> were compared</w:t>
      </w:r>
      <w:r w:rsidR="009161F3">
        <w:rPr>
          <w:rFonts w:ascii="Calibri" w:eastAsiaTheme="majorEastAsia" w:hAnsi="Calibri" w:cs="Calibri"/>
          <w:color w:val="156082" w:themeColor="accent1"/>
          <w:sz w:val="22"/>
          <w:szCs w:val="22"/>
        </w:rPr>
        <w:t>.</w:t>
      </w:r>
      <w:r>
        <w:rPr>
          <w:rFonts w:ascii="Calibri" w:eastAsiaTheme="majorEastAsia" w:hAnsi="Calibri" w:cs="Calibri"/>
          <w:color w:val="156082" w:themeColor="accent1"/>
          <w:sz w:val="22"/>
          <w:szCs w:val="22"/>
        </w:rPr>
        <w:t xml:space="preserve"> 6029</w:t>
      </w:r>
      <w:r w:rsidR="009161F3">
        <w:rPr>
          <w:rFonts w:ascii="Calibri" w:eastAsiaTheme="majorEastAsia" w:hAnsi="Calibri" w:cs="Calibri"/>
          <w:color w:val="156082" w:themeColor="accent1"/>
          <w:sz w:val="22"/>
          <w:szCs w:val="22"/>
        </w:rPr>
        <w:t xml:space="preserve"> and 6505</w:t>
      </w:r>
      <w:r>
        <w:rPr>
          <w:rFonts w:ascii="Calibri" w:eastAsiaTheme="majorEastAsia" w:hAnsi="Calibri" w:cs="Calibri"/>
          <w:color w:val="156082" w:themeColor="accent1"/>
          <w:sz w:val="22"/>
          <w:szCs w:val="22"/>
        </w:rPr>
        <w:t xml:space="preserve"> </w:t>
      </w:r>
      <w:r w:rsidR="001D63E4">
        <w:rPr>
          <w:rFonts w:ascii="Calibri" w:eastAsiaTheme="majorEastAsia" w:hAnsi="Calibri" w:cs="Calibri"/>
          <w:color w:val="156082" w:themeColor="accent1"/>
          <w:sz w:val="22"/>
          <w:szCs w:val="22"/>
        </w:rPr>
        <w:t>phosphorylation</w:t>
      </w:r>
      <w:r>
        <w:rPr>
          <w:rFonts w:ascii="Calibri" w:eastAsiaTheme="majorEastAsia" w:hAnsi="Calibri" w:cs="Calibri"/>
          <w:color w:val="156082" w:themeColor="accent1"/>
          <w:sz w:val="22"/>
          <w:szCs w:val="22"/>
        </w:rPr>
        <w:t xml:space="preserve"> sites with no detected protein matched and matching more than one protein</w:t>
      </w:r>
      <w:r w:rsidR="009161F3">
        <w:rPr>
          <w:rFonts w:ascii="Calibri" w:eastAsiaTheme="majorEastAsia" w:hAnsi="Calibri" w:cs="Calibri"/>
          <w:color w:val="156082" w:themeColor="accent1"/>
          <w:sz w:val="22"/>
          <w:szCs w:val="22"/>
        </w:rPr>
        <w:t>, respectively,</w:t>
      </w:r>
      <w:r>
        <w:rPr>
          <w:rFonts w:ascii="Calibri" w:eastAsiaTheme="majorEastAsia" w:hAnsi="Calibri" w:cs="Calibri"/>
          <w:color w:val="156082" w:themeColor="accent1"/>
          <w:sz w:val="22"/>
          <w:szCs w:val="22"/>
        </w:rPr>
        <w:t xml:space="preserve"> were found, giving about 34% of all </w:t>
      </w:r>
      <w:r w:rsidR="001D63E4">
        <w:rPr>
          <w:rFonts w:ascii="Calibri" w:eastAsiaTheme="majorEastAsia" w:hAnsi="Calibri" w:cs="Calibri"/>
          <w:color w:val="156082" w:themeColor="accent1"/>
          <w:sz w:val="22"/>
          <w:szCs w:val="22"/>
        </w:rPr>
        <w:t>phosphorylation</w:t>
      </w:r>
      <w:r>
        <w:rPr>
          <w:rFonts w:ascii="Calibri" w:eastAsiaTheme="majorEastAsia" w:hAnsi="Calibri" w:cs="Calibri"/>
          <w:color w:val="156082" w:themeColor="accent1"/>
          <w:sz w:val="22"/>
          <w:szCs w:val="22"/>
        </w:rPr>
        <w:t xml:space="preserve"> sites that cannot be matched to a single protein. The differential abundance for the total proteome found no significantly changing proteins a</w:t>
      </w:r>
      <w:r w:rsidR="007A44C6">
        <w:rPr>
          <w:rFonts w:ascii="Calibri" w:eastAsiaTheme="majorEastAsia" w:hAnsi="Calibri" w:cs="Calibri"/>
          <w:color w:val="156082" w:themeColor="accent1"/>
          <w:sz w:val="22"/>
          <w:szCs w:val="22"/>
        </w:rPr>
        <w:t xml:space="preserve">t false discovery rate (FDR) level of </w:t>
      </w:r>
      <w:r>
        <w:rPr>
          <w:rFonts w:ascii="Calibri" w:eastAsiaTheme="majorEastAsia" w:hAnsi="Calibri" w:cs="Calibri"/>
          <w:color w:val="156082" w:themeColor="accent1"/>
          <w:sz w:val="22"/>
          <w:szCs w:val="22"/>
        </w:rPr>
        <w:t>0.05. Taking</w:t>
      </w:r>
      <w:r w:rsidR="009161F3">
        <w:rPr>
          <w:rFonts w:ascii="Calibri" w:eastAsiaTheme="majorEastAsia" w:hAnsi="Calibri" w:cs="Calibri"/>
          <w:color w:val="156082" w:themeColor="accent1"/>
          <w:sz w:val="22"/>
          <w:szCs w:val="22"/>
        </w:rPr>
        <w:t xml:space="preserve"> imperfect matching and no changing proteins</w:t>
      </w:r>
      <w:r>
        <w:rPr>
          <w:rFonts w:ascii="Calibri" w:eastAsiaTheme="majorEastAsia" w:hAnsi="Calibri" w:cs="Calibri"/>
          <w:color w:val="156082" w:themeColor="accent1"/>
          <w:sz w:val="22"/>
          <w:szCs w:val="22"/>
        </w:rPr>
        <w:t xml:space="preserve"> into account, normalisation to the total proteome was not used. Instead, </w:t>
      </w:r>
      <w:r w:rsidR="001D63E4">
        <w:rPr>
          <w:rFonts w:ascii="Calibri" w:eastAsiaTheme="majorEastAsia" w:hAnsi="Calibri" w:cs="Calibri"/>
          <w:color w:val="156082" w:themeColor="accent1"/>
          <w:sz w:val="22"/>
          <w:szCs w:val="22"/>
        </w:rPr>
        <w:t>phosphorylation</w:t>
      </w:r>
      <w:r>
        <w:rPr>
          <w:rFonts w:ascii="Calibri" w:eastAsiaTheme="majorEastAsia" w:hAnsi="Calibri" w:cs="Calibri"/>
          <w:color w:val="156082" w:themeColor="accent1"/>
          <w:sz w:val="22"/>
          <w:szCs w:val="22"/>
        </w:rPr>
        <w:t xml:space="preserve"> site intensities were normalised to the median in each sample.</w:t>
      </w:r>
    </w:p>
    <w:p w14:paraId="31E1BE7D" w14:textId="77777777" w:rsidR="007A44C6" w:rsidRDefault="007A44C6" w:rsidP="007139CC">
      <w:pPr>
        <w:pStyle w:val="paragraph"/>
        <w:spacing w:before="0" w:beforeAutospacing="0" w:after="0" w:afterAutospacing="0"/>
        <w:jc w:val="both"/>
        <w:textAlignment w:val="baseline"/>
        <w:rPr>
          <w:rStyle w:val="normaltextrun"/>
          <w:rFonts w:ascii="Calibri" w:eastAsiaTheme="majorEastAsia" w:hAnsi="Calibri" w:cs="Calibri"/>
          <w:color w:val="156082" w:themeColor="accent1"/>
          <w:sz w:val="22"/>
          <w:szCs w:val="22"/>
        </w:rPr>
      </w:pPr>
    </w:p>
    <w:p w14:paraId="09D7B95C" w14:textId="69D54663" w:rsidR="007139CC" w:rsidRPr="00E931BD" w:rsidRDefault="0094788E" w:rsidP="007139CC">
      <w:pPr>
        <w:pStyle w:val="paragraph"/>
        <w:spacing w:before="0" w:beforeAutospacing="0" w:after="0" w:afterAutospacing="0"/>
        <w:jc w:val="both"/>
        <w:textAlignment w:val="baseline"/>
        <w:rPr>
          <w:rFonts w:ascii="Calibri" w:hAnsi="Calibri" w:cs="Calibri"/>
          <w:color w:val="156082" w:themeColor="accent1"/>
          <w:sz w:val="22"/>
          <w:szCs w:val="22"/>
        </w:rPr>
      </w:pPr>
      <w:r>
        <w:rPr>
          <w:rStyle w:val="normaltextrun"/>
          <w:rFonts w:ascii="Calibri" w:eastAsiaTheme="majorEastAsia" w:hAnsi="Calibri" w:cs="Calibri"/>
          <w:color w:val="156082" w:themeColor="accent1"/>
          <w:sz w:val="22"/>
          <w:szCs w:val="22"/>
        </w:rPr>
        <w:t>D</w:t>
      </w:r>
      <w:r w:rsidR="007139CC" w:rsidRPr="00E931BD">
        <w:rPr>
          <w:rStyle w:val="normaltextrun"/>
          <w:rFonts w:ascii="Calibri" w:eastAsiaTheme="majorEastAsia" w:hAnsi="Calibri" w:cs="Calibri"/>
          <w:color w:val="156082" w:themeColor="accent1"/>
          <w:sz w:val="22"/>
          <w:szCs w:val="22"/>
        </w:rPr>
        <w:t xml:space="preserve">ifferential </w:t>
      </w:r>
      <w:r>
        <w:rPr>
          <w:rStyle w:val="normaltextrun"/>
          <w:rFonts w:ascii="Calibri" w:eastAsiaTheme="majorEastAsia" w:hAnsi="Calibri" w:cs="Calibri"/>
          <w:color w:val="156082" w:themeColor="accent1"/>
          <w:sz w:val="22"/>
          <w:szCs w:val="22"/>
        </w:rPr>
        <w:t>abundance</w:t>
      </w:r>
      <w:r w:rsidR="007139CC" w:rsidRPr="00E931BD">
        <w:rPr>
          <w:rStyle w:val="normaltextrun"/>
          <w:rFonts w:ascii="Calibri" w:eastAsiaTheme="majorEastAsia" w:hAnsi="Calibri" w:cs="Calibri"/>
          <w:color w:val="156082" w:themeColor="accent1"/>
          <w:sz w:val="22"/>
          <w:szCs w:val="22"/>
        </w:rPr>
        <w:t xml:space="preserve"> analysis was performed using the R package </w:t>
      </w:r>
      <w:r w:rsidR="007139CC" w:rsidRPr="007A44C6">
        <w:rPr>
          <w:rStyle w:val="normaltextrun"/>
          <w:rFonts w:ascii="Calibri" w:eastAsiaTheme="majorEastAsia" w:hAnsi="Calibri" w:cs="Calibri"/>
          <w:i/>
          <w:iCs/>
          <w:color w:val="156082" w:themeColor="accent1"/>
          <w:sz w:val="22"/>
          <w:szCs w:val="22"/>
        </w:rPr>
        <w:t>limma</w:t>
      </w:r>
      <w:r w:rsidR="007139CC" w:rsidRPr="00E931BD">
        <w:rPr>
          <w:rStyle w:val="normaltextrun"/>
          <w:rFonts w:ascii="Calibri" w:eastAsiaTheme="majorEastAsia" w:hAnsi="Calibri" w:cs="Calibri"/>
          <w:color w:val="156082" w:themeColor="accent1"/>
          <w:sz w:val="22"/>
          <w:szCs w:val="22"/>
        </w:rPr>
        <w:t> (Ritchie et al., 2015), which applies a moderated t-test by borrowing information across all peptides.</w:t>
      </w:r>
      <w:r w:rsidR="007A44C6">
        <w:rPr>
          <w:rStyle w:val="normaltextrun"/>
          <w:rFonts w:ascii="Calibri" w:eastAsiaTheme="majorEastAsia" w:hAnsi="Calibri" w:cs="Calibri"/>
          <w:color w:val="156082" w:themeColor="accent1"/>
          <w:sz w:val="22"/>
          <w:szCs w:val="22"/>
        </w:rPr>
        <w:t xml:space="preserve"> P</w:t>
      </w:r>
      <w:r w:rsidR="007A44C6" w:rsidRPr="00E931BD">
        <w:rPr>
          <w:rStyle w:val="normaltextrun"/>
          <w:rFonts w:ascii="Calibri" w:eastAsiaTheme="majorEastAsia" w:hAnsi="Calibri" w:cs="Calibri"/>
          <w:color w:val="156082" w:themeColor="accent1"/>
          <w:sz w:val="22"/>
          <w:szCs w:val="22"/>
        </w:rPr>
        <w:t>-values were adjusted for multiple test</w:t>
      </w:r>
      <w:r w:rsidR="007A44C6">
        <w:rPr>
          <w:rStyle w:val="normaltextrun"/>
          <w:rFonts w:ascii="Calibri" w:eastAsiaTheme="majorEastAsia" w:hAnsi="Calibri" w:cs="Calibri"/>
          <w:color w:val="156082" w:themeColor="accent1"/>
          <w:sz w:val="22"/>
          <w:szCs w:val="22"/>
        </w:rPr>
        <w:t>s</w:t>
      </w:r>
      <w:r w:rsidR="007A44C6" w:rsidRPr="00E931BD">
        <w:rPr>
          <w:rStyle w:val="normaltextrun"/>
          <w:rFonts w:ascii="Calibri" w:eastAsiaTheme="majorEastAsia" w:hAnsi="Calibri" w:cs="Calibri"/>
          <w:color w:val="156082" w:themeColor="accent1"/>
          <w:sz w:val="22"/>
          <w:szCs w:val="22"/>
        </w:rPr>
        <w:t xml:space="preserve"> using the Benjamini</w:t>
      </w:r>
      <w:r w:rsidR="00BD4F5B">
        <w:rPr>
          <w:rStyle w:val="normaltextrun"/>
          <w:rFonts w:ascii="Calibri" w:eastAsiaTheme="majorEastAsia" w:hAnsi="Calibri" w:cs="Calibri"/>
          <w:color w:val="156082" w:themeColor="accent1"/>
          <w:sz w:val="22"/>
          <w:szCs w:val="22"/>
        </w:rPr>
        <w:t>-</w:t>
      </w:r>
      <w:r w:rsidR="007A44C6" w:rsidRPr="00E931BD">
        <w:rPr>
          <w:rStyle w:val="normaltextrun"/>
          <w:rFonts w:ascii="Calibri" w:eastAsiaTheme="majorEastAsia" w:hAnsi="Calibri" w:cs="Calibri"/>
          <w:color w:val="156082" w:themeColor="accent1"/>
          <w:sz w:val="22"/>
          <w:szCs w:val="22"/>
        </w:rPr>
        <w:t>Hochberg method</w:t>
      </w:r>
      <w:r w:rsidR="007A44C6">
        <w:rPr>
          <w:rStyle w:val="normaltextrun"/>
          <w:rFonts w:ascii="Calibri" w:eastAsiaTheme="majorEastAsia" w:hAnsi="Calibri" w:cs="Calibri"/>
          <w:color w:val="156082" w:themeColor="accent1"/>
          <w:sz w:val="22"/>
          <w:szCs w:val="22"/>
        </w:rPr>
        <w:t>, and</w:t>
      </w:r>
      <w:r w:rsidR="007139CC" w:rsidRPr="00E931BD">
        <w:rPr>
          <w:rStyle w:val="normaltextrun"/>
          <w:rFonts w:ascii="Calibri" w:eastAsiaTheme="majorEastAsia" w:hAnsi="Calibri" w:cs="Calibri"/>
          <w:color w:val="156082" w:themeColor="accent1"/>
          <w:sz w:val="22"/>
          <w:szCs w:val="22"/>
        </w:rPr>
        <w:t xml:space="preserve"> </w:t>
      </w:r>
      <w:r w:rsidR="007A44C6">
        <w:rPr>
          <w:rStyle w:val="normaltextrun"/>
          <w:rFonts w:ascii="Calibri" w:eastAsiaTheme="majorEastAsia" w:hAnsi="Calibri" w:cs="Calibri"/>
          <w:color w:val="156082" w:themeColor="accent1"/>
          <w:sz w:val="22"/>
          <w:szCs w:val="22"/>
        </w:rPr>
        <w:t xml:space="preserve">a </w:t>
      </w:r>
      <w:r w:rsidR="007139CC" w:rsidRPr="00E931BD">
        <w:rPr>
          <w:rStyle w:val="normaltextrun"/>
          <w:rFonts w:ascii="Calibri" w:eastAsiaTheme="majorEastAsia" w:hAnsi="Calibri" w:cs="Calibri"/>
          <w:color w:val="156082" w:themeColor="accent1"/>
          <w:sz w:val="22"/>
          <w:szCs w:val="22"/>
        </w:rPr>
        <w:t>FDR</w:t>
      </w:r>
      <w:r w:rsidR="007A44C6">
        <w:rPr>
          <w:rStyle w:val="normaltextrun"/>
          <w:rFonts w:ascii="Calibri" w:eastAsiaTheme="majorEastAsia" w:hAnsi="Calibri" w:cs="Calibri"/>
          <w:color w:val="156082" w:themeColor="accent1"/>
          <w:sz w:val="22"/>
          <w:szCs w:val="22"/>
        </w:rPr>
        <w:t xml:space="preserve"> &lt; 0.05</w:t>
      </w:r>
      <w:r w:rsidR="007139CC" w:rsidRPr="00E931BD">
        <w:rPr>
          <w:rStyle w:val="normaltextrun"/>
          <w:rFonts w:ascii="Calibri" w:eastAsiaTheme="majorEastAsia" w:hAnsi="Calibri" w:cs="Calibri"/>
          <w:color w:val="156082" w:themeColor="accent1"/>
          <w:sz w:val="22"/>
          <w:szCs w:val="22"/>
        </w:rPr>
        <w:t xml:space="preserve"> threshold was applied</w:t>
      </w:r>
      <w:r w:rsidR="007A44C6">
        <w:rPr>
          <w:rStyle w:val="normaltextrun"/>
          <w:rFonts w:ascii="Calibri" w:eastAsiaTheme="majorEastAsia" w:hAnsi="Calibri" w:cs="Calibri"/>
          <w:color w:val="156082" w:themeColor="accent1"/>
          <w:sz w:val="22"/>
          <w:szCs w:val="22"/>
        </w:rPr>
        <w:t xml:space="preserve"> to </w:t>
      </w:r>
      <w:r w:rsidR="00BD4F5B">
        <w:rPr>
          <w:rStyle w:val="normaltextrun"/>
          <w:rFonts w:ascii="Calibri" w:eastAsiaTheme="majorEastAsia" w:hAnsi="Calibri" w:cs="Calibri"/>
          <w:color w:val="156082" w:themeColor="accent1"/>
          <w:sz w:val="22"/>
          <w:szCs w:val="22"/>
        </w:rPr>
        <w:t>find</w:t>
      </w:r>
      <w:r w:rsidR="007A44C6">
        <w:rPr>
          <w:rStyle w:val="normaltextrun"/>
          <w:rFonts w:ascii="Calibri" w:eastAsiaTheme="majorEastAsia" w:hAnsi="Calibri" w:cs="Calibri"/>
          <w:color w:val="156082" w:themeColor="accent1"/>
          <w:sz w:val="22"/>
          <w:szCs w:val="22"/>
        </w:rPr>
        <w:t xml:space="preserve"> significantly changing </w:t>
      </w:r>
      <w:r w:rsidR="001D63E4">
        <w:rPr>
          <w:rStyle w:val="normaltextrun"/>
          <w:rFonts w:ascii="Calibri" w:eastAsiaTheme="majorEastAsia" w:hAnsi="Calibri" w:cs="Calibri"/>
          <w:color w:val="156082" w:themeColor="accent1"/>
          <w:sz w:val="22"/>
          <w:szCs w:val="22"/>
        </w:rPr>
        <w:t>phosphorylation</w:t>
      </w:r>
      <w:r w:rsidR="007A44C6">
        <w:rPr>
          <w:rStyle w:val="normaltextrun"/>
          <w:rFonts w:ascii="Calibri" w:eastAsiaTheme="majorEastAsia" w:hAnsi="Calibri" w:cs="Calibri"/>
          <w:color w:val="156082" w:themeColor="accent1"/>
          <w:sz w:val="22"/>
          <w:szCs w:val="22"/>
        </w:rPr>
        <w:t xml:space="preserve"> sites</w:t>
      </w:r>
      <w:r w:rsidR="007139CC" w:rsidRPr="00E931BD">
        <w:rPr>
          <w:rStyle w:val="normaltextrun"/>
          <w:rFonts w:ascii="Calibri" w:eastAsiaTheme="majorEastAsia" w:hAnsi="Calibri" w:cs="Calibri"/>
          <w:color w:val="156082" w:themeColor="accent1"/>
          <w:sz w:val="22"/>
          <w:szCs w:val="22"/>
        </w:rPr>
        <w:t>.</w:t>
      </w:r>
      <w:r w:rsidR="007139CC" w:rsidRPr="00E931BD">
        <w:rPr>
          <w:rStyle w:val="eop"/>
          <w:rFonts w:ascii="Calibri" w:eastAsiaTheme="majorEastAsia" w:hAnsi="Calibri" w:cs="Calibri"/>
          <w:color w:val="156082" w:themeColor="accent1"/>
          <w:sz w:val="22"/>
          <w:szCs w:val="22"/>
        </w:rPr>
        <w:t> </w:t>
      </w:r>
    </w:p>
    <w:p w14:paraId="1CC2CCE9" w14:textId="77777777" w:rsidR="007139CC" w:rsidRDefault="007139CC" w:rsidP="007139CC">
      <w:pPr>
        <w:pStyle w:val="paragraph"/>
        <w:spacing w:before="0" w:beforeAutospacing="0" w:after="0" w:afterAutospacing="0"/>
        <w:jc w:val="both"/>
        <w:textAlignment w:val="baseline"/>
        <w:rPr>
          <w:rStyle w:val="normaltextrun"/>
          <w:rFonts w:ascii="Calibri" w:eastAsiaTheme="majorEastAsia" w:hAnsi="Calibri" w:cs="Calibri"/>
          <w:sz w:val="22"/>
          <w:szCs w:val="22"/>
        </w:rPr>
      </w:pPr>
    </w:p>
    <w:p w14:paraId="33EEB917" w14:textId="14B2E0AF"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Functional classification was performed by assigning an overarching function to each identified protein using the UniProt reference database (</w:t>
      </w:r>
      <w:hyperlink r:id="rId8" w:tgtFrame="_blank" w:history="1">
        <w:r w:rsidRPr="007139CC">
          <w:rPr>
            <w:rStyle w:val="normaltextrun"/>
            <w:rFonts w:ascii="Calibri" w:eastAsiaTheme="majorEastAsia" w:hAnsi="Calibri" w:cs="Calibri"/>
            <w:color w:val="0563C1"/>
            <w:sz w:val="22"/>
            <w:szCs w:val="22"/>
            <w:u w:val="single"/>
          </w:rPr>
          <w:t>www.uniprot.org</w:t>
        </w:r>
      </w:hyperlink>
      <w:r w:rsidR="007A44C6">
        <w:t>)</w:t>
      </w:r>
      <w:r w:rsidRPr="007139CC">
        <w:rPr>
          <w:rStyle w:val="normaltextrun"/>
          <w:rFonts w:ascii="Calibri" w:eastAsiaTheme="majorEastAsia" w:hAnsi="Calibri" w:cs="Calibri"/>
          <w:sz w:val="22"/>
          <w:szCs w:val="22"/>
        </w:rPr>
        <w:t>. For gene ontology (GO) analysis, the STRING platform (www.string-db.org) was used to generate protein–protein interaction networks based on evidence from the literature and curated databases. Kinase family prediction for identified phosphorylation sites was performed using the Kinase Library resource (https://kinase-library.phosphosite.org/kinase-library/). This platform ranks candidate kinases based on in vitro kinase assay data and amino acid sequence preferences surrounding phosphorylation sites (Johnson et al., 2023). The top 10-ranked kinase families were considered, and a kinase family was assigned when three or more kinases from the same family were represented among the top predictions.</w:t>
      </w:r>
      <w:r w:rsidRPr="007139CC">
        <w:rPr>
          <w:rStyle w:val="eop"/>
          <w:rFonts w:ascii="Calibri" w:eastAsiaTheme="majorEastAsia" w:hAnsi="Calibri" w:cs="Calibri"/>
          <w:sz w:val="22"/>
          <w:szCs w:val="22"/>
        </w:rPr>
        <w:t> </w:t>
      </w:r>
    </w:p>
    <w:p w14:paraId="683F89CF"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6896BDF6"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Protein extraction for Western blotting</w:t>
      </w:r>
      <w:r w:rsidRPr="007139CC">
        <w:rPr>
          <w:rStyle w:val="eop"/>
          <w:rFonts w:ascii="Calibri" w:eastAsiaTheme="majorEastAsia" w:hAnsi="Calibri" w:cs="Calibri"/>
          <w:sz w:val="22"/>
          <w:szCs w:val="22"/>
        </w:rPr>
        <w:t> </w:t>
      </w:r>
    </w:p>
    <w:p w14:paraId="7A02788E" w14:textId="0FD41FE8" w:rsidR="007139CC" w:rsidRDefault="007139CC" w:rsidP="007139CC">
      <w:pPr>
        <w:pStyle w:val="paragraph"/>
        <w:spacing w:before="0" w:beforeAutospacing="0" w:after="0" w:afterAutospacing="0"/>
        <w:jc w:val="both"/>
        <w:textAlignment w:val="baseline"/>
        <w:rPr>
          <w:rStyle w:val="eop"/>
          <w:rFonts w:ascii="Calibri" w:eastAsiaTheme="majorEastAsia" w:hAnsi="Calibri" w:cs="Calibri"/>
          <w:sz w:val="22"/>
          <w:szCs w:val="22"/>
        </w:rPr>
      </w:pPr>
      <w:r w:rsidRPr="007139CC">
        <w:rPr>
          <w:rStyle w:val="normaltextrun"/>
          <w:rFonts w:ascii="Calibri" w:eastAsiaTheme="majorEastAsia" w:hAnsi="Calibri" w:cs="Calibri"/>
          <w:sz w:val="22"/>
          <w:szCs w:val="22"/>
        </w:rPr>
        <w:t xml:space="preserve">hESCs were harvested using the lysis buffer [250 mM NaCl, 50 mM HEPES, 0.50% NP40, 10% Glycerol, PhosSTOP™ phosphatase inhibitor tablet (Roche) and complete Protease Inhibitor Cocktail Tablet (Roche)]. The protein lysate was collected in an Eppendorf® tube and incubated on ice for 20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followed by 30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of centrifuging at 14,000 rpm and 4°C.  Protein concentration of protein extracts was determined using the bicinchoninic acid (BCA) Protein Assay Kit (PierceTM - ThermoFisher) according to manufacturer’s directions. Protein concentration was calculated using a standard bovine serum albumin (BSA) protein curve.</w:t>
      </w:r>
      <w:r w:rsidRPr="007139CC">
        <w:rPr>
          <w:rStyle w:val="eop"/>
          <w:rFonts w:ascii="Calibri" w:eastAsiaTheme="majorEastAsia" w:hAnsi="Calibri" w:cs="Calibri"/>
          <w:sz w:val="22"/>
          <w:szCs w:val="22"/>
        </w:rPr>
        <w:t> </w:t>
      </w:r>
    </w:p>
    <w:p w14:paraId="1F0DD3EE"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p>
    <w:p w14:paraId="4BD7D8E5"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lastRenderedPageBreak/>
        <w:t>Immunoblotting</w:t>
      </w:r>
      <w:r w:rsidRPr="007139CC">
        <w:rPr>
          <w:rStyle w:val="eop"/>
          <w:rFonts w:ascii="Calibri" w:eastAsiaTheme="majorEastAsia" w:hAnsi="Calibri" w:cs="Calibri"/>
          <w:sz w:val="22"/>
          <w:szCs w:val="22"/>
        </w:rPr>
        <w:t> </w:t>
      </w:r>
    </w:p>
    <w:p w14:paraId="0AF63669" w14:textId="03FA7A5F"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 xml:space="preserve">Proteins were resolved in pre-cast gels (NuPAGE 4-12% Agarose Bis-Tris gel, Invitrogen). Gels were run at 150V for 90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in NuPAGE MOPS SDS Running Buffer (Invitrogen), adding NuPAGE Antioxidant (Invitrogen) between the gels. Gels were transferred at 250 mA for 75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in NuPAGE Transfer Buffer (Invitrogen) into a 0.45 μm PDVF membrane (Immobilon®). If appropriate, membranes were checked with Ponceau solution (Sigma-Aldrich) for loading control and cut for more efficient analysis. Blocking was done with 5% Bovine Serum Albumin (BSA, heat shock fraction, pH 7 – Sigma-Aldrich) or milk on TBST for one hour. Primary antibody incubation was performed overnight in the cold room, followed by 3 washes of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with TBST. Secondary antibody (Table 3) incubation for 1 hour at room temperature (RT) followed by 3 washes of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with TBST. After secondary antibody incubation, protein signals were analysed by chemiluminescence detection with ECL™ Western Blotting Detection Reagents (Cytiva) and either using films (Kodak) or the ChemidocTM Imager (Bio-Rad). Quantifications were made within a linear range, using ImageJ to collect raw values. Microsoft Excel was used to normalise values for each band to the corresponding loading control.</w:t>
      </w:r>
      <w:r w:rsidRPr="007139CC">
        <w:rPr>
          <w:rStyle w:val="eop"/>
          <w:rFonts w:ascii="Calibri" w:eastAsiaTheme="majorEastAsia" w:hAnsi="Calibri" w:cs="Calibri"/>
          <w:sz w:val="22"/>
          <w:szCs w:val="22"/>
        </w:rPr>
        <w:t> </w:t>
      </w:r>
    </w:p>
    <w:p w14:paraId="229201C9"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565B32DE" w14:textId="708818DD"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RNA extraction and quantitative reverse transcription–PCR for qPCR</w:t>
      </w:r>
      <w:r w:rsidRPr="007139CC">
        <w:rPr>
          <w:rStyle w:val="eop"/>
          <w:rFonts w:ascii="Calibri" w:eastAsiaTheme="majorEastAsia" w:hAnsi="Calibri" w:cs="Calibri"/>
          <w:color w:val="881798"/>
          <w:sz w:val="22"/>
          <w:szCs w:val="22"/>
        </w:rPr>
        <w:t> </w:t>
      </w:r>
    </w:p>
    <w:p w14:paraId="128809FD" w14:textId="7E923A7B"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 xml:space="preserve">RNeasy Mini® extraction kit (Qiagen) was used for RNA extraction. This involved the addition of 350 μl of RLT lysis buffer per well; cells were scraped off, and the content was collected in a tube. Samples were transferred into a column, washed with different buffers, and eluted in 30 μl of RNase-free water. RNase-Free DNase Set (Qiagen) was used for DNA removal. Samples were incubated with a mixture of DNase I and RDD buffer for 15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RT. Wash off with the RW1 buffer, then continue with RNA extraction. RNA samples’ quantification by NanoDrop. </w:t>
      </w:r>
      <w:r w:rsidRPr="007139CC">
        <w:rPr>
          <w:rStyle w:val="eop"/>
          <w:rFonts w:ascii="Calibri" w:eastAsiaTheme="majorEastAsia" w:hAnsi="Calibri" w:cs="Calibri"/>
          <w:color w:val="881798"/>
          <w:sz w:val="22"/>
          <w:szCs w:val="22"/>
        </w:rPr>
        <w:t> </w:t>
      </w:r>
      <w:r w:rsidRPr="007139CC">
        <w:rPr>
          <w:rStyle w:val="normaltextrun"/>
          <w:rFonts w:ascii="Calibri" w:eastAsiaTheme="majorEastAsia" w:hAnsi="Calibri" w:cs="Calibri"/>
          <w:sz w:val="22"/>
          <w:szCs w:val="22"/>
        </w:rPr>
        <w:t xml:space="preserve">The high-capacity cDNA Reverse Transcription Kit (Applied Biosystems™) was used for cDNA transcription. 10 μl of RNA (containing a total of 2 μg of RNA) and 10 μl of the Master mix (see protocol from the kit) were mixed and run in the thermal cycler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25 ºC, 2 hours at 37 ºC,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85 ºC and left on hold at 4 ºC).</w:t>
      </w:r>
      <w:r w:rsidRPr="007139CC">
        <w:rPr>
          <w:rStyle w:val="eop"/>
          <w:rFonts w:ascii="Calibri" w:eastAsiaTheme="majorEastAsia" w:hAnsi="Calibri" w:cs="Calibri"/>
          <w:color w:val="881798"/>
          <w:sz w:val="22"/>
          <w:szCs w:val="22"/>
        </w:rPr>
        <w:t> </w:t>
      </w:r>
      <w:r w:rsidRPr="007139CC">
        <w:rPr>
          <w:rStyle w:val="normaltextrun"/>
          <w:rFonts w:ascii="Calibri" w:eastAsiaTheme="majorEastAsia" w:hAnsi="Calibri" w:cs="Calibri"/>
          <w:sz w:val="22"/>
          <w:szCs w:val="22"/>
        </w:rPr>
        <w:t>Brilliant III Ultra-Fast SYBR® Green QPCR Master Mix (Agilent Technologies) was used. For all samples, 3 μl of cDNA were loaded (concentration: 1.2 ng/μg) and mixed with 7 μl of master mix. All gene-specific primers (listed in the Key Resources Table) were from Eurofins Genomics. Relative expression was calculated using the ΔΔCt method, normalising each gene of interest to the housekeeping gene levels (GAPH). Expression was then normalised to hESC expression. Ratio (reference/target) = 2CT</w:t>
      </w:r>
      <w:r w:rsidRPr="007139CC">
        <w:rPr>
          <w:rStyle w:val="normaltextrun"/>
          <w:rFonts w:ascii="Calibri" w:eastAsiaTheme="majorEastAsia" w:hAnsi="Calibri" w:cs="Calibri"/>
          <w:sz w:val="22"/>
          <w:szCs w:val="22"/>
          <w:vertAlign w:val="superscript"/>
        </w:rPr>
        <w:t>(reference)</w:t>
      </w:r>
      <w:r w:rsidRPr="007139CC">
        <w:rPr>
          <w:rStyle w:val="normaltextrun"/>
          <w:rFonts w:ascii="Calibri" w:eastAsiaTheme="majorEastAsia" w:hAnsi="Calibri" w:cs="Calibri"/>
          <w:sz w:val="22"/>
          <w:szCs w:val="22"/>
        </w:rPr>
        <w:t>-CT</w:t>
      </w:r>
      <w:r w:rsidRPr="007139CC">
        <w:rPr>
          <w:rStyle w:val="normaltextrun"/>
          <w:rFonts w:ascii="Calibri" w:eastAsiaTheme="majorEastAsia" w:hAnsi="Calibri" w:cs="Calibri"/>
          <w:sz w:val="22"/>
          <w:szCs w:val="22"/>
          <w:vertAlign w:val="superscript"/>
        </w:rPr>
        <w:t>(target)</w:t>
      </w:r>
      <w:r w:rsidRPr="007139CC">
        <w:rPr>
          <w:rStyle w:val="normaltextrun"/>
          <w:rFonts w:ascii="Calibri" w:eastAsiaTheme="majorEastAsia" w:hAnsi="Calibri" w:cs="Calibri"/>
          <w:sz w:val="22"/>
          <w:szCs w:val="22"/>
        </w:rPr>
        <w:t>. Statistical analysis and graphic representation were performed with Prism GraphPad (t-test analysis).</w:t>
      </w:r>
      <w:r w:rsidRPr="007139CC">
        <w:rPr>
          <w:rStyle w:val="eop"/>
          <w:rFonts w:ascii="Calibri" w:eastAsiaTheme="majorEastAsia" w:hAnsi="Calibri" w:cs="Calibri"/>
          <w:sz w:val="22"/>
          <w:szCs w:val="22"/>
        </w:rPr>
        <w:t> </w:t>
      </w:r>
    </w:p>
    <w:p w14:paraId="07F3F45F"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34F2A299"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Flow cytometry analysis of protein expression profile</w:t>
      </w:r>
      <w:r w:rsidRPr="007139CC">
        <w:rPr>
          <w:rStyle w:val="eop"/>
          <w:rFonts w:ascii="Calibri" w:eastAsiaTheme="majorEastAsia" w:hAnsi="Calibri" w:cs="Calibri"/>
          <w:color w:val="881798"/>
          <w:sz w:val="22"/>
          <w:szCs w:val="22"/>
        </w:rPr>
        <w:t> </w:t>
      </w:r>
    </w:p>
    <w:p w14:paraId="59F23032" w14:textId="60F4E5A4"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 xml:space="preserve">Cells were harvested with TrypLE Select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of incubation at 37°C)</w:t>
      </w:r>
      <w:r w:rsidR="00B8764F">
        <w:rPr>
          <w:rStyle w:val="normaltextrun"/>
          <w:rFonts w:ascii="Calibri" w:eastAsiaTheme="majorEastAsia" w:hAnsi="Calibri" w:cs="Calibri"/>
          <w:sz w:val="22"/>
          <w:szCs w:val="22"/>
        </w:rPr>
        <w:t xml:space="preserve"> and</w:t>
      </w:r>
      <w:r w:rsidRPr="007139CC">
        <w:rPr>
          <w:rStyle w:val="normaltextrun"/>
          <w:rFonts w:ascii="Calibri" w:eastAsiaTheme="majorEastAsia" w:hAnsi="Calibri" w:cs="Calibri"/>
          <w:sz w:val="22"/>
          <w:szCs w:val="22"/>
        </w:rPr>
        <w:t xml:space="preserve"> centrifuged at 300g for 3 mi</w:t>
      </w:r>
      <w:r w:rsidR="00B8764F">
        <w:rPr>
          <w:rStyle w:val="normaltextrun"/>
          <w:rFonts w:ascii="Calibri" w:eastAsiaTheme="majorEastAsia" w:hAnsi="Calibri" w:cs="Calibri"/>
          <w:sz w:val="22"/>
          <w:szCs w:val="22"/>
        </w:rPr>
        <w:t>n</w:t>
      </w:r>
      <w:r w:rsidRPr="007139CC">
        <w:rPr>
          <w:rStyle w:val="normaltextrun"/>
          <w:rFonts w:ascii="Calibri" w:eastAsiaTheme="majorEastAsia" w:hAnsi="Calibri" w:cs="Calibri"/>
          <w:sz w:val="22"/>
          <w:szCs w:val="22"/>
        </w:rPr>
        <w:t>. The supernatant was removed, and a solution of 4% PFA was added (1 ml of PFA for every 2x10</w:t>
      </w:r>
      <w:r w:rsidRPr="007139CC">
        <w:rPr>
          <w:rStyle w:val="normaltextrun"/>
          <w:rFonts w:ascii="Calibri" w:eastAsiaTheme="majorEastAsia" w:hAnsi="Calibri" w:cs="Calibri"/>
          <w:sz w:val="22"/>
          <w:szCs w:val="22"/>
          <w:vertAlign w:val="superscript"/>
        </w:rPr>
        <w:t>6</w:t>
      </w:r>
      <w:r w:rsidRPr="007139CC">
        <w:rPr>
          <w:rStyle w:val="normaltextrun"/>
          <w:rFonts w:ascii="Calibri" w:eastAsiaTheme="majorEastAsia" w:hAnsi="Calibri" w:cs="Calibri"/>
          <w:sz w:val="22"/>
          <w:szCs w:val="22"/>
        </w:rPr>
        <w:t xml:space="preserve"> cells) for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RT</w:t>
      </w:r>
      <w:r w:rsidR="00B8764F">
        <w:rPr>
          <w:rStyle w:val="normaltextrun"/>
          <w:rFonts w:ascii="Calibri" w:eastAsiaTheme="majorEastAsia" w:hAnsi="Calibri" w:cs="Calibri"/>
          <w:sz w:val="22"/>
          <w:szCs w:val="22"/>
        </w:rPr>
        <w:t xml:space="preserve"> and</w:t>
      </w:r>
      <w:r w:rsidRPr="007139CC">
        <w:rPr>
          <w:rStyle w:val="normaltextrun"/>
          <w:rFonts w:ascii="Calibri" w:eastAsiaTheme="majorEastAsia" w:hAnsi="Calibri" w:cs="Calibri"/>
          <w:sz w:val="22"/>
          <w:szCs w:val="22"/>
        </w:rPr>
        <w:t xml:space="preserve"> PFA was </w:t>
      </w:r>
      <w:r w:rsidR="00B8764F">
        <w:rPr>
          <w:rStyle w:val="normaltextrun"/>
          <w:rFonts w:ascii="Calibri" w:eastAsiaTheme="majorEastAsia" w:hAnsi="Calibri" w:cs="Calibri"/>
          <w:sz w:val="22"/>
          <w:szCs w:val="22"/>
        </w:rPr>
        <w:t xml:space="preserve">then </w:t>
      </w:r>
      <w:r w:rsidRPr="007139CC">
        <w:rPr>
          <w:rStyle w:val="normaltextrun"/>
          <w:rFonts w:ascii="Calibri" w:eastAsiaTheme="majorEastAsia" w:hAnsi="Calibri" w:cs="Calibri"/>
          <w:sz w:val="22"/>
          <w:szCs w:val="22"/>
        </w:rPr>
        <w:t>quenched with a solution of 100 mM glycine solution in PBS. The cells were centrifuged at 300g for 3 min</w:t>
      </w:r>
      <w:r w:rsidR="00B8764F">
        <w:rPr>
          <w:rStyle w:val="normaltextrun"/>
          <w:rFonts w:ascii="Calibri" w:eastAsiaTheme="majorEastAsia" w:hAnsi="Calibri" w:cs="Calibri"/>
          <w:sz w:val="22"/>
          <w:szCs w:val="22"/>
        </w:rPr>
        <w:t xml:space="preserve">, </w:t>
      </w:r>
      <w:r w:rsidRPr="007139CC">
        <w:rPr>
          <w:rStyle w:val="normaltextrun"/>
          <w:rFonts w:ascii="Calibri" w:eastAsiaTheme="majorEastAsia" w:hAnsi="Calibri" w:cs="Calibri"/>
          <w:sz w:val="22"/>
          <w:szCs w:val="22"/>
        </w:rPr>
        <w:t>500 µl of permeabilisation solution (0.5% Triton + 4%BSA on PBS) was added</w:t>
      </w:r>
      <w:r w:rsidR="00B8764F">
        <w:rPr>
          <w:rStyle w:val="normaltextrun"/>
          <w:rFonts w:ascii="Calibri" w:eastAsiaTheme="majorEastAsia" w:hAnsi="Calibri" w:cs="Calibri"/>
          <w:sz w:val="22"/>
          <w:szCs w:val="22"/>
        </w:rPr>
        <w:t xml:space="preserve"> </w:t>
      </w:r>
      <w:r w:rsidRPr="007139CC">
        <w:rPr>
          <w:rStyle w:val="normaltextrun"/>
          <w:rFonts w:ascii="Calibri" w:eastAsiaTheme="majorEastAsia" w:hAnsi="Calibri" w:cs="Calibri"/>
          <w:sz w:val="22"/>
          <w:szCs w:val="22"/>
        </w:rPr>
        <w:t xml:space="preserve">for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RT. Blocking was performed by adding a detergent-based reagent (0.05% Triton + 4%BSA in PBS) and incubating for 15 min RT. Cells were washed with 2 ml of PBS, followed by centrifugation at 300g for 3 min. The supernatant was discarded, and the primary antibody added (</w:t>
      </w:r>
      <w:r w:rsidR="00B8764F">
        <w:rPr>
          <w:rStyle w:val="normaltextrun"/>
          <w:rFonts w:ascii="Calibri" w:eastAsiaTheme="majorEastAsia" w:hAnsi="Calibri" w:cs="Calibri"/>
          <w:sz w:val="22"/>
          <w:szCs w:val="22"/>
        </w:rPr>
        <w:t xml:space="preserve">see </w:t>
      </w:r>
      <w:r w:rsidRPr="007139CC">
        <w:rPr>
          <w:rStyle w:val="normaltextrun"/>
          <w:rFonts w:ascii="Calibri" w:eastAsiaTheme="majorEastAsia" w:hAnsi="Calibri" w:cs="Calibri"/>
          <w:sz w:val="22"/>
          <w:szCs w:val="22"/>
        </w:rPr>
        <w:t xml:space="preserve">Key Resources Table). Cells were incubated for 30 minat RT, followed by two washes with PBS (0.05% Tween20 and 0.1% BSA) and centrifuged at 300 g for 3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The secondary antibody was added (listed in the Key Resources Table) and incubated in the dark for 30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RT. The cells were washed with PBS (containing 0.05% Tween 20 and 0.1% BSA) and centrifuged at 300 g for 3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500 μl of PBS was added to the cells and then run in the BD FACSCanto™ Flow </w:t>
      </w:r>
      <w:r w:rsidRPr="007139CC">
        <w:rPr>
          <w:rStyle w:val="normaltextrun"/>
          <w:rFonts w:ascii="Calibri" w:eastAsiaTheme="majorEastAsia" w:hAnsi="Calibri" w:cs="Calibri"/>
          <w:sz w:val="22"/>
          <w:szCs w:val="22"/>
        </w:rPr>
        <w:lastRenderedPageBreak/>
        <w:t>Cytometry System. Data was analysed using FlowJo. No primary controls defined quadrant gates.</w:t>
      </w:r>
      <w:r w:rsidRPr="007139CC">
        <w:rPr>
          <w:rStyle w:val="eop"/>
          <w:rFonts w:ascii="Calibri" w:eastAsiaTheme="majorEastAsia" w:hAnsi="Calibri" w:cs="Calibri"/>
          <w:sz w:val="22"/>
          <w:szCs w:val="22"/>
        </w:rPr>
        <w:t> </w:t>
      </w:r>
    </w:p>
    <w:p w14:paraId="3B2FDF15"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368DF834"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Immunofluorescence</w:t>
      </w:r>
      <w:r w:rsidRPr="007139CC">
        <w:rPr>
          <w:rStyle w:val="eop"/>
          <w:rFonts w:ascii="Calibri" w:eastAsiaTheme="majorEastAsia" w:hAnsi="Calibri" w:cs="Calibri"/>
          <w:sz w:val="22"/>
          <w:szCs w:val="22"/>
        </w:rPr>
        <w:t> </w:t>
      </w:r>
    </w:p>
    <w:p w14:paraId="2F006A13" w14:textId="00098FAB" w:rsidR="007139CC" w:rsidRPr="007139CC" w:rsidRDefault="007139CC" w:rsidP="007139CC">
      <w:pPr>
        <w:pStyle w:val="paragraph"/>
        <w:spacing w:before="0" w:beforeAutospacing="0" w:after="0" w:afterAutospacing="0"/>
        <w:jc w:val="both"/>
        <w:textAlignment w:val="baseline"/>
        <w:rPr>
          <w:rFonts w:ascii="Calibri" w:hAnsi="Calibri" w:cs="Calibri"/>
          <w:i/>
          <w:iCs/>
          <w:color w:val="44546A"/>
          <w:sz w:val="22"/>
          <w:szCs w:val="22"/>
        </w:rPr>
      </w:pPr>
      <w:r>
        <w:rPr>
          <w:rStyle w:val="normaltextrun"/>
          <w:rFonts w:ascii="Calibri" w:eastAsiaTheme="majorEastAsia" w:hAnsi="Calibri" w:cs="Calibri"/>
          <w:color w:val="000000" w:themeColor="text1"/>
          <w:sz w:val="22"/>
          <w:szCs w:val="22"/>
        </w:rPr>
        <w:t>P</w:t>
      </w:r>
      <w:r w:rsidRPr="007139CC">
        <w:rPr>
          <w:rStyle w:val="normaltextrun"/>
          <w:rFonts w:ascii="Calibri" w:eastAsiaTheme="majorEastAsia" w:hAnsi="Calibri" w:cs="Calibri"/>
          <w:color w:val="000000" w:themeColor="text1"/>
          <w:sz w:val="22"/>
          <w:szCs w:val="22"/>
        </w:rPr>
        <w:t>araformaldehyde 4% in PBS</w:t>
      </w:r>
      <w:r>
        <w:rPr>
          <w:rStyle w:val="normaltextrun"/>
          <w:rFonts w:ascii="Calibri" w:eastAsiaTheme="majorEastAsia" w:hAnsi="Calibri" w:cs="Calibri"/>
          <w:color w:val="000000" w:themeColor="text1"/>
          <w:sz w:val="22"/>
          <w:szCs w:val="22"/>
        </w:rPr>
        <w:t xml:space="preserve"> 4</w:t>
      </w:r>
      <w:r w:rsidRPr="007139CC">
        <w:rPr>
          <w:rStyle w:val="normaltextrun"/>
          <w:rFonts w:ascii="Calibri" w:eastAsiaTheme="majorEastAsia" w:hAnsi="Calibri" w:cs="Calibri"/>
          <w:color w:val="000000" w:themeColor="text1"/>
          <w:sz w:val="22"/>
          <w:szCs w:val="22"/>
          <w:vertAlign w:val="superscript"/>
        </w:rPr>
        <w:t>o</w:t>
      </w:r>
      <w:r>
        <w:rPr>
          <w:rStyle w:val="normaltextrun"/>
          <w:rFonts w:ascii="Calibri" w:eastAsiaTheme="majorEastAsia" w:hAnsi="Calibri" w:cs="Calibri"/>
          <w:color w:val="000000" w:themeColor="text1"/>
          <w:sz w:val="22"/>
          <w:szCs w:val="22"/>
        </w:rPr>
        <w:t>C</w:t>
      </w:r>
      <w:r w:rsidRPr="007139CC">
        <w:rPr>
          <w:rStyle w:val="normaltextrun"/>
          <w:rFonts w:ascii="Calibri" w:eastAsiaTheme="majorEastAsia" w:hAnsi="Calibri" w:cs="Calibri"/>
          <w:color w:val="000000" w:themeColor="text1"/>
          <w:sz w:val="22"/>
          <w:szCs w:val="22"/>
        </w:rPr>
        <w:t xml:space="preserve"> (PFA, Thistle Scientific) was added to the cells for fixation, incubated for 10 </w:t>
      </w:r>
      <w:r w:rsidR="00B8764F">
        <w:rPr>
          <w:rStyle w:val="normaltextrun"/>
          <w:rFonts w:ascii="Calibri" w:eastAsiaTheme="majorEastAsia" w:hAnsi="Calibri" w:cs="Calibri"/>
          <w:color w:val="000000" w:themeColor="text1"/>
          <w:sz w:val="22"/>
          <w:szCs w:val="22"/>
        </w:rPr>
        <w:t>min.</w:t>
      </w:r>
      <w:r w:rsidRPr="007139CC">
        <w:rPr>
          <w:rStyle w:val="normaltextrun"/>
          <w:rFonts w:ascii="Calibri" w:eastAsiaTheme="majorEastAsia" w:hAnsi="Calibri" w:cs="Calibri"/>
          <w:color w:val="000000" w:themeColor="text1"/>
          <w:sz w:val="22"/>
          <w:szCs w:val="22"/>
        </w:rPr>
        <w:t xml:space="preserve"> on ice, followed by 5 </w:t>
      </w:r>
      <w:r w:rsidR="00B8764F">
        <w:rPr>
          <w:rStyle w:val="normaltextrun"/>
          <w:rFonts w:ascii="Calibri" w:eastAsiaTheme="majorEastAsia" w:hAnsi="Calibri" w:cs="Calibri"/>
          <w:color w:val="000000" w:themeColor="text1"/>
          <w:sz w:val="22"/>
          <w:szCs w:val="22"/>
        </w:rPr>
        <w:t>min.</w:t>
      </w:r>
      <w:r w:rsidRPr="007139CC">
        <w:rPr>
          <w:rStyle w:val="normaltextrun"/>
          <w:rFonts w:ascii="Calibri" w:eastAsiaTheme="majorEastAsia" w:hAnsi="Calibri" w:cs="Calibri"/>
          <w:color w:val="000000" w:themeColor="text1"/>
          <w:sz w:val="22"/>
          <w:szCs w:val="22"/>
        </w:rPr>
        <w:t xml:space="preserve"> of incubation with cold methanol, then washed twice with PBS and stored in the fridge before imaging. The </w:t>
      </w:r>
      <w:r w:rsidR="00B8764F" w:rsidRPr="007139CC">
        <w:rPr>
          <w:rStyle w:val="normaltextrun"/>
          <w:rFonts w:ascii="Calibri" w:eastAsiaTheme="majorEastAsia" w:hAnsi="Calibri" w:cs="Calibri"/>
          <w:color w:val="000000" w:themeColor="text1"/>
          <w:sz w:val="22"/>
          <w:szCs w:val="22"/>
        </w:rPr>
        <w:t>permeabili</w:t>
      </w:r>
      <w:r w:rsidR="00B8764F">
        <w:rPr>
          <w:rStyle w:val="normaltextrun"/>
          <w:rFonts w:ascii="Calibri" w:eastAsiaTheme="majorEastAsia" w:hAnsi="Calibri" w:cs="Calibri"/>
          <w:color w:val="000000" w:themeColor="text1"/>
          <w:sz w:val="22"/>
          <w:szCs w:val="22"/>
        </w:rPr>
        <w:t>s</w:t>
      </w:r>
      <w:r w:rsidR="00B8764F" w:rsidRPr="007139CC">
        <w:rPr>
          <w:rStyle w:val="normaltextrun"/>
          <w:rFonts w:ascii="Calibri" w:eastAsiaTheme="majorEastAsia" w:hAnsi="Calibri" w:cs="Calibri"/>
          <w:color w:val="000000" w:themeColor="text1"/>
          <w:sz w:val="22"/>
          <w:szCs w:val="22"/>
        </w:rPr>
        <w:t>ation</w:t>
      </w:r>
      <w:r w:rsidRPr="007139CC">
        <w:rPr>
          <w:rStyle w:val="normaltextrun"/>
          <w:rFonts w:ascii="Calibri" w:eastAsiaTheme="majorEastAsia" w:hAnsi="Calibri" w:cs="Calibri"/>
          <w:color w:val="000000" w:themeColor="text1"/>
          <w:sz w:val="22"/>
          <w:szCs w:val="22"/>
        </w:rPr>
        <w:t xml:space="preserve"> of cells was done with 0.1% Triton® (Promega) Solution in PBS for 10 </w:t>
      </w:r>
      <w:r w:rsidR="00B8764F">
        <w:rPr>
          <w:rStyle w:val="normaltextrun"/>
          <w:rFonts w:ascii="Calibri" w:eastAsiaTheme="majorEastAsia" w:hAnsi="Calibri" w:cs="Calibri"/>
          <w:color w:val="000000" w:themeColor="text1"/>
          <w:sz w:val="22"/>
          <w:szCs w:val="22"/>
        </w:rPr>
        <w:t>min.</w:t>
      </w:r>
      <w:r w:rsidRPr="007139CC">
        <w:rPr>
          <w:rStyle w:val="normaltextrun"/>
          <w:rFonts w:ascii="Calibri" w:eastAsiaTheme="majorEastAsia" w:hAnsi="Calibri" w:cs="Calibri"/>
          <w:color w:val="000000" w:themeColor="text1"/>
          <w:sz w:val="22"/>
          <w:szCs w:val="22"/>
        </w:rPr>
        <w:t xml:space="preserve"> and blocked with 4% BSA (Sigma-Aldrich) on 0.1% Triton Solution in PBS for one hour. Primary antibody (listed in the Key Resources Table) incubation was performed overnight at 4°C, followed by three washes with PBS for 10 </w:t>
      </w:r>
      <w:r w:rsidR="00B8764F">
        <w:rPr>
          <w:rStyle w:val="normaltextrun"/>
          <w:rFonts w:ascii="Calibri" w:eastAsiaTheme="majorEastAsia" w:hAnsi="Calibri" w:cs="Calibri"/>
          <w:color w:val="000000" w:themeColor="text1"/>
          <w:sz w:val="22"/>
          <w:szCs w:val="22"/>
        </w:rPr>
        <w:t>min.</w:t>
      </w:r>
      <w:r w:rsidRPr="007139CC">
        <w:rPr>
          <w:rStyle w:val="normaltextrun"/>
          <w:rFonts w:ascii="Calibri" w:eastAsiaTheme="majorEastAsia" w:hAnsi="Calibri" w:cs="Calibri"/>
          <w:color w:val="000000" w:themeColor="text1"/>
          <w:sz w:val="22"/>
          <w:szCs w:val="22"/>
        </w:rPr>
        <w:t xml:space="preserve"> The secondary antibody (listed in the Key Resources Table) was incubated for one hour at RT, followed by three washes with PBS for 10 </w:t>
      </w:r>
      <w:r w:rsidR="00B8764F">
        <w:rPr>
          <w:rStyle w:val="normaltextrun"/>
          <w:rFonts w:ascii="Calibri" w:eastAsiaTheme="majorEastAsia" w:hAnsi="Calibri" w:cs="Calibri"/>
          <w:color w:val="000000" w:themeColor="text1"/>
          <w:sz w:val="22"/>
          <w:szCs w:val="22"/>
        </w:rPr>
        <w:t>min.</w:t>
      </w:r>
      <w:r w:rsidRPr="007139CC">
        <w:rPr>
          <w:rStyle w:val="normaltextrun"/>
          <w:rFonts w:ascii="Calibri" w:eastAsiaTheme="majorEastAsia" w:hAnsi="Calibri" w:cs="Calibri"/>
          <w:color w:val="000000" w:themeColor="text1"/>
          <w:sz w:val="22"/>
          <w:szCs w:val="22"/>
        </w:rPr>
        <w:t xml:space="preserve"> In parallel, no primary control was run. Images were taken on a Leica SP8 confocal using 20× air or 63× NA 1.2 APO oil objectives. For imaging, cells were grown in ibidi μ</w:t>
      </w:r>
      <w:r w:rsidRPr="007139CC">
        <w:rPr>
          <w:rStyle w:val="normaltextrun"/>
          <w:rFonts w:ascii="Calibri" w:eastAsiaTheme="majorEastAsia" w:hAnsi="Calibri" w:cs="Calibri"/>
          <w:color w:val="000000" w:themeColor="text1"/>
          <w:sz w:val="22"/>
          <w:szCs w:val="22"/>
        </w:rPr>
        <w:noBreakHyphen/>
        <w:t>Slide 8</w:t>
      </w:r>
      <w:r w:rsidRPr="007139CC">
        <w:rPr>
          <w:rStyle w:val="normaltextrun"/>
          <w:rFonts w:ascii="Calibri" w:eastAsiaTheme="majorEastAsia" w:hAnsi="Calibri" w:cs="Calibri"/>
          <w:color w:val="000000" w:themeColor="text1"/>
          <w:sz w:val="22"/>
          <w:szCs w:val="22"/>
        </w:rPr>
        <w:noBreakHyphen/>
        <w:t>well, Cat. #80826.)</w:t>
      </w:r>
      <w:r w:rsidRPr="007139CC">
        <w:rPr>
          <w:rStyle w:val="eop"/>
          <w:rFonts w:ascii="Calibri" w:eastAsiaTheme="majorEastAsia" w:hAnsi="Calibri" w:cs="Calibri"/>
          <w:i/>
          <w:iCs/>
          <w:color w:val="000000" w:themeColor="text1"/>
          <w:sz w:val="22"/>
          <w:szCs w:val="22"/>
        </w:rPr>
        <w:t> </w:t>
      </w:r>
    </w:p>
    <w:p w14:paraId="6BEFF0CD" w14:textId="3CBFB9DB"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p>
    <w:p w14:paraId="6EF5DEC8" w14:textId="03073C88"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 xml:space="preserve">PHF2 </w:t>
      </w:r>
      <w:r>
        <w:rPr>
          <w:rStyle w:val="normaltextrun"/>
          <w:rFonts w:ascii="Calibri" w:eastAsiaTheme="majorEastAsia" w:hAnsi="Calibri" w:cs="Calibri"/>
          <w:b/>
          <w:bCs/>
          <w:sz w:val="22"/>
          <w:szCs w:val="22"/>
        </w:rPr>
        <w:t>knock-down</w:t>
      </w:r>
      <w:r w:rsidRPr="007139CC">
        <w:rPr>
          <w:rStyle w:val="normaltextrun"/>
          <w:rFonts w:ascii="Calibri" w:eastAsiaTheme="majorEastAsia" w:hAnsi="Calibri" w:cs="Calibri"/>
          <w:b/>
          <w:bCs/>
          <w:sz w:val="22"/>
          <w:szCs w:val="22"/>
        </w:rPr>
        <w:t xml:space="preserve"> using siRNA</w:t>
      </w:r>
      <w:r w:rsidRPr="007139CC">
        <w:rPr>
          <w:rStyle w:val="eop"/>
          <w:rFonts w:ascii="Calibri" w:eastAsiaTheme="majorEastAsia" w:hAnsi="Calibri" w:cs="Calibri"/>
          <w:sz w:val="22"/>
          <w:szCs w:val="22"/>
        </w:rPr>
        <w:t> </w:t>
      </w:r>
    </w:p>
    <w:p w14:paraId="697097AA" w14:textId="5A2D7F62"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Pr>
          <w:rStyle w:val="normaltextrun"/>
          <w:rFonts w:ascii="Calibri" w:eastAsiaTheme="majorEastAsia" w:hAnsi="Calibri" w:cs="Calibri"/>
          <w:sz w:val="22"/>
          <w:szCs w:val="22"/>
        </w:rPr>
        <w:t>T</w:t>
      </w:r>
      <w:r w:rsidRPr="007139CC">
        <w:rPr>
          <w:rStyle w:val="normaltextrun"/>
          <w:rFonts w:ascii="Calibri" w:eastAsiaTheme="majorEastAsia" w:hAnsi="Calibri" w:cs="Calibri"/>
          <w:sz w:val="22"/>
          <w:szCs w:val="22"/>
        </w:rPr>
        <w:t xml:space="preserve">ransfection </w:t>
      </w:r>
      <w:r>
        <w:rPr>
          <w:rStyle w:val="normaltextrun"/>
          <w:rFonts w:ascii="Calibri" w:eastAsiaTheme="majorEastAsia" w:hAnsi="Calibri" w:cs="Calibri"/>
          <w:sz w:val="22"/>
          <w:szCs w:val="22"/>
        </w:rPr>
        <w:t xml:space="preserve">of </w:t>
      </w:r>
      <w:r w:rsidRPr="007139CC">
        <w:rPr>
          <w:rStyle w:val="normaltextrun"/>
          <w:rFonts w:ascii="Calibri" w:eastAsiaTheme="majorEastAsia" w:hAnsi="Calibri" w:cs="Calibri"/>
          <w:sz w:val="22"/>
          <w:szCs w:val="22"/>
        </w:rPr>
        <w:t>siRNA</w:t>
      </w:r>
      <w:r>
        <w:rPr>
          <w:rStyle w:val="normaltextrun"/>
          <w:rFonts w:ascii="Calibri" w:eastAsiaTheme="majorEastAsia" w:hAnsi="Calibri" w:cs="Calibri"/>
          <w:sz w:val="22"/>
          <w:szCs w:val="22"/>
        </w:rPr>
        <w:t>s</w:t>
      </w:r>
      <w:r w:rsidRPr="007139CC">
        <w:rPr>
          <w:rStyle w:val="normaltextrun"/>
          <w:rFonts w:ascii="Calibri" w:eastAsiaTheme="majorEastAsia" w:hAnsi="Calibri" w:cs="Calibri"/>
          <w:sz w:val="22"/>
          <w:szCs w:val="22"/>
        </w:rPr>
        <w:t xml:space="preserve"> was performed using LipofectamineTM RNAiMAX </w:t>
      </w:r>
      <w:r>
        <w:rPr>
          <w:rStyle w:val="normaltextrun"/>
          <w:rFonts w:ascii="Calibri" w:eastAsiaTheme="majorEastAsia" w:hAnsi="Calibri" w:cs="Calibri"/>
          <w:sz w:val="22"/>
          <w:szCs w:val="22"/>
        </w:rPr>
        <w:t>t</w:t>
      </w:r>
      <w:r w:rsidRPr="007139CC">
        <w:rPr>
          <w:rStyle w:val="normaltextrun"/>
          <w:rFonts w:ascii="Calibri" w:eastAsiaTheme="majorEastAsia" w:hAnsi="Calibri" w:cs="Calibri"/>
          <w:sz w:val="22"/>
          <w:szCs w:val="22"/>
        </w:rPr>
        <w:t xml:space="preserve">ransfection </w:t>
      </w:r>
      <w:r>
        <w:rPr>
          <w:rStyle w:val="normaltextrun"/>
          <w:rFonts w:ascii="Calibri" w:eastAsiaTheme="majorEastAsia" w:hAnsi="Calibri" w:cs="Calibri"/>
          <w:sz w:val="22"/>
          <w:szCs w:val="22"/>
        </w:rPr>
        <w:t>r</w:t>
      </w:r>
      <w:r w:rsidRPr="007139CC">
        <w:rPr>
          <w:rStyle w:val="normaltextrun"/>
          <w:rFonts w:ascii="Calibri" w:eastAsiaTheme="majorEastAsia" w:hAnsi="Calibri" w:cs="Calibri"/>
          <w:sz w:val="22"/>
          <w:szCs w:val="22"/>
        </w:rPr>
        <w:t>eagent (Invitrogen</w:t>
      </w:r>
      <w:r w:rsidRPr="007139CC">
        <w:rPr>
          <w:rStyle w:val="normaltextrun"/>
          <w:rFonts w:ascii="Calibri" w:eastAsiaTheme="majorEastAsia" w:hAnsi="Calibri" w:cs="Calibri"/>
          <w:sz w:val="22"/>
          <w:szCs w:val="22"/>
          <w:vertAlign w:val="superscript"/>
        </w:rPr>
        <w:t>TM</w:t>
      </w:r>
      <w:r w:rsidRPr="007139CC">
        <w:rPr>
          <w:rStyle w:val="normaltextrun"/>
          <w:rFonts w:ascii="Calibri" w:eastAsiaTheme="majorEastAsia" w:hAnsi="Calibri" w:cs="Calibri"/>
          <w:sz w:val="22"/>
          <w:szCs w:val="22"/>
        </w:rPr>
        <w:t xml:space="preserve">). Tubes were mixed separately as follows (volumes for 2 wells of a 12-well plate):  Tube A: mix 2 μl of siRNA (final concentration of 20nM) with 100 μl of OPTIMEM; Tube B: mix 6 μl of RNAi MAX with 100 μl of OPTIMEM.  Then, tube A was added to tube B and incubated at RT for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The mixture was added to the cells drop by drop and incubated for at least 24 hours.</w:t>
      </w:r>
      <w:r w:rsidRPr="007139CC">
        <w:rPr>
          <w:rStyle w:val="eop"/>
          <w:rFonts w:ascii="Calibri" w:eastAsiaTheme="majorEastAsia" w:hAnsi="Calibri" w:cs="Calibri"/>
          <w:sz w:val="22"/>
          <w:szCs w:val="22"/>
        </w:rPr>
        <w:t> </w:t>
      </w:r>
    </w:p>
    <w:p w14:paraId="1F773C16"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3C48DDFA"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PHF2 knock-out in hESCs</w:t>
      </w:r>
      <w:r w:rsidRPr="007139CC">
        <w:rPr>
          <w:rStyle w:val="eop"/>
          <w:rFonts w:ascii="Calibri" w:eastAsiaTheme="majorEastAsia" w:hAnsi="Calibri" w:cs="Calibri"/>
          <w:sz w:val="22"/>
          <w:szCs w:val="22"/>
        </w:rPr>
        <w:t> </w:t>
      </w:r>
    </w:p>
    <w:p w14:paraId="71CF7FE1" w14:textId="6DA76213"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commentRangeStart w:id="1"/>
      <w:r w:rsidRPr="007139CC">
        <w:rPr>
          <w:rStyle w:val="normaltextrun"/>
          <w:rFonts w:ascii="Calibri" w:eastAsiaTheme="majorEastAsia" w:hAnsi="Calibri" w:cs="Calibri"/>
          <w:sz w:val="22"/>
          <w:szCs w:val="22"/>
        </w:rPr>
        <w:t xml:space="preserve">Two pre-designed guide RNAs </w:t>
      </w:r>
      <w:commentRangeEnd w:id="1"/>
      <w:r w:rsidRPr="007139CC">
        <w:rPr>
          <w:rStyle w:val="CommentReference"/>
          <w:rFonts w:ascii="Calibri" w:eastAsiaTheme="majorEastAsia" w:hAnsi="Calibri" w:cs="Calibri"/>
          <w:sz w:val="22"/>
          <w:szCs w:val="22"/>
        </w:rPr>
        <w:commentReference w:id="1"/>
      </w:r>
      <w:r w:rsidRPr="007139CC">
        <w:rPr>
          <w:rStyle w:val="normaltextrun"/>
          <w:rFonts w:ascii="Calibri" w:eastAsiaTheme="majorEastAsia" w:hAnsi="Calibri" w:cs="Calibri"/>
          <w:sz w:val="22"/>
          <w:szCs w:val="22"/>
        </w:rPr>
        <w:t>targeting exon 1 of PHF2 (IDT) were tested. Exon 1 was selected to maximise the likelihood of generating a frameshift mutation and functional knockout. The guide showing the highest editing efficiency was used</w:t>
      </w:r>
      <w:r>
        <w:rPr>
          <w:rStyle w:val="normaltextrun"/>
          <w:rFonts w:ascii="Calibri" w:eastAsiaTheme="majorEastAsia" w:hAnsi="Calibri" w:cs="Calibri"/>
          <w:sz w:val="22"/>
          <w:szCs w:val="22"/>
        </w:rPr>
        <w:t xml:space="preserve"> for subsequent </w:t>
      </w:r>
      <w:r w:rsidRPr="007139CC">
        <w:rPr>
          <w:rStyle w:val="normaltextrun"/>
          <w:rFonts w:ascii="Calibri" w:eastAsiaTheme="majorEastAsia" w:hAnsi="Calibri" w:cs="Calibri"/>
          <w:sz w:val="22"/>
          <w:szCs w:val="22"/>
        </w:rPr>
        <w:t>experiments (sequence: CAGTGACGTCGAGAACTACG).</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 xml:space="preserve">Guide RNA was assembled by annealing crRNA and tracrRNA. crRNA and tracrRNA tubes were vortexed and dissolved to a concentration of 200 μM in IDT duplex buffer in the hood. To prepare the gRNA, 10 μl of crRNA and 10 μl of tracrRNA were mixed in a screw-cap tube and incubated at 95°C for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then left to cool to RT to allow annealing. Tubes were centrifuged.</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RNP complexes were prepared by mixing 1.5 µL 50 µM sgRNA, 2.5 µL 61 µM Cas9, and 2.2 µL buffer (for 2.2 reactions). For each transfection, 2×10⁵ cells were resuspended in 10 µL Buffer R (Invitrogen™ Neon™ Transfection System Kit). Cells were trypsinised, counted, washed in PBS, and mixed with 2 µL RNP. Electroporation was performed using the Neon Transfection System (Invitrogen), with the following settings: 1150 V, 30 ms, 1 pulse using 10 µL tips. Cells were transferred into mTeSR medium supplemented with bFGF (30 ng/mL), Noggin (10 ng/mL) and Y-27632 (10 µM) and plated on Geltrex-coated plates (10 µg/cm²).</w:t>
      </w:r>
      <w:r w:rsidRPr="007139CC">
        <w:rPr>
          <w:rStyle w:val="eop"/>
          <w:rFonts w:ascii="Calibri" w:eastAsiaTheme="majorEastAsia" w:hAnsi="Calibri" w:cs="Calibri"/>
          <w:sz w:val="22"/>
          <w:szCs w:val="22"/>
        </w:rPr>
        <w:t> </w:t>
      </w:r>
    </w:p>
    <w:p w14:paraId="3C082957" w14:textId="77777777" w:rsidR="007139CC" w:rsidRDefault="007139CC" w:rsidP="007139CC">
      <w:pPr>
        <w:pStyle w:val="paragraph"/>
        <w:spacing w:before="0" w:beforeAutospacing="0" w:after="0" w:afterAutospacing="0"/>
        <w:jc w:val="both"/>
        <w:textAlignment w:val="baseline"/>
        <w:rPr>
          <w:rStyle w:val="normaltextrun"/>
          <w:rFonts w:ascii="Calibri" w:eastAsiaTheme="majorEastAsia" w:hAnsi="Calibri" w:cs="Calibri"/>
          <w:sz w:val="22"/>
          <w:szCs w:val="22"/>
        </w:rPr>
      </w:pPr>
    </w:p>
    <w:p w14:paraId="38E43702" w14:textId="2DEB4102"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Seventy-two hours post-electroporation, a fraction of transfected cells was collected to assess PHF2 protein levels. Cells were lysed in PROTEIN LYSIS BUFFER supplemented with protease inhibitors, and total protein was quantified using the BCA assay. Protein samples were run in a</w:t>
      </w:r>
      <w:r>
        <w:rPr>
          <w:rStyle w:val="normaltextrun"/>
          <w:rFonts w:ascii="Calibri" w:eastAsiaTheme="majorEastAsia" w:hAnsi="Calibri" w:cs="Calibri"/>
          <w:sz w:val="22"/>
          <w:szCs w:val="22"/>
        </w:rPr>
        <w:t>n</w:t>
      </w:r>
      <w:r w:rsidRPr="007139CC">
        <w:rPr>
          <w:rStyle w:val="normaltextrun"/>
          <w:rFonts w:ascii="Calibri" w:eastAsiaTheme="majorEastAsia" w:hAnsi="Calibri" w:cs="Calibri"/>
          <w:sz w:val="22"/>
          <w:szCs w:val="22"/>
        </w:rPr>
        <w:t> SDS–PAGE and analysed by Western blot using an antibody against total PHF2. Band intensities were quantified using ImageJ and normalised to Total H3. Comparison of the two guides indicated that guide RNA AB (sequence </w:t>
      </w:r>
      <w:r>
        <w:rPr>
          <w:rStyle w:val="normaltextrun"/>
          <w:rFonts w:ascii="Calibri" w:eastAsiaTheme="majorEastAsia" w:hAnsi="Calibri" w:cs="Calibri"/>
          <w:sz w:val="22"/>
          <w:szCs w:val="22"/>
        </w:rPr>
        <w:t xml:space="preserve">as above) was most effective in reducing </w:t>
      </w:r>
      <w:r w:rsidRPr="007139CC">
        <w:rPr>
          <w:rStyle w:val="normaltextrun"/>
          <w:rFonts w:ascii="Calibri" w:eastAsiaTheme="majorEastAsia" w:hAnsi="Calibri" w:cs="Calibri"/>
          <w:sz w:val="22"/>
          <w:szCs w:val="22"/>
        </w:rPr>
        <w:t>PHF2 protein levels and was therefore selected for single-cell cloning.</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For clonal isolation, edited cells were plated at low density to obtain single-cell–derived colonies. Individual colonies were expanded and screened for PHF2 expression by Western blot as described above. Clones showing complete loss (or the strongest reduction) of PHF2 protein were selected for subsequent experiments.</w:t>
      </w:r>
      <w:r w:rsidRPr="007139CC">
        <w:rPr>
          <w:rStyle w:val="eop"/>
          <w:rFonts w:ascii="Calibri" w:eastAsiaTheme="majorEastAsia" w:hAnsi="Calibri" w:cs="Calibri"/>
          <w:sz w:val="22"/>
          <w:szCs w:val="22"/>
        </w:rPr>
        <w:t> </w:t>
      </w:r>
    </w:p>
    <w:p w14:paraId="11C7E598" w14:textId="77777777" w:rsidR="007139CC" w:rsidRDefault="007139CC" w:rsidP="007139CC">
      <w:pPr>
        <w:pStyle w:val="paragraph"/>
        <w:spacing w:before="0" w:beforeAutospacing="0" w:after="0" w:afterAutospacing="0"/>
        <w:jc w:val="both"/>
        <w:textAlignment w:val="baseline"/>
        <w:rPr>
          <w:rStyle w:val="normaltextrun"/>
          <w:rFonts w:ascii="Calibri" w:eastAsiaTheme="majorEastAsia" w:hAnsi="Calibri" w:cs="Calibri"/>
          <w:sz w:val="22"/>
          <w:szCs w:val="22"/>
        </w:rPr>
      </w:pPr>
    </w:p>
    <w:p w14:paraId="261F0E76" w14:textId="1CB974F0"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Genotypic validation of PHF2 knockout clones</w:t>
      </w:r>
      <w:r w:rsidRPr="007139CC">
        <w:rPr>
          <w:rStyle w:val="eop"/>
          <w:rFonts w:ascii="Calibri" w:eastAsiaTheme="majorEastAsia" w:hAnsi="Calibri" w:cs="Calibri"/>
          <w:sz w:val="22"/>
          <w:szCs w:val="22"/>
        </w:rPr>
        <w:t> </w:t>
      </w:r>
    </w:p>
    <w:p w14:paraId="3EA985FC" w14:textId="2FAB3FD4"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To determine the nature of CRISPR-induced mutations, PCR products from knockout (KO) clones were subcloned to allow sequencing of individual alleles. Genomic DNA was extracted, and the targeted PHF2 region was amplified using PrimeSTAR GXL DNA Polymerase. Each 50 µl PCR reaction contained 10 µl 5X PrimeSTAR GXL Buffer, 4 µl dNTP mixture, 1 µl forward primer, 1 µl reverse primer, 1 µl PrimeSTAR GXL DNA Polymerase, 300 ng genomic DNA template, and nuclease-free water to volume.</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Thermal cycling conditions: 98°C for 120 seconds; 30 cycles of 98°C for 10 seconds, 60°C for 15 seconds, and 68°C for 36 seconds; followed by a final extension at 68°C for 120 seconds.</w:t>
      </w:r>
      <w:r w:rsidRPr="007139CC">
        <w:rPr>
          <w:rStyle w:val="eop"/>
          <w:rFonts w:ascii="Calibri" w:eastAsiaTheme="majorEastAsia" w:hAnsi="Calibri" w:cs="Calibri"/>
          <w:sz w:val="22"/>
          <w:szCs w:val="22"/>
        </w:rPr>
        <w:t> </w:t>
      </w:r>
      <w:r w:rsidRPr="007139CC">
        <w:rPr>
          <w:rStyle w:val="normaltextrun"/>
          <w:rFonts w:ascii="Calibri" w:eastAsiaTheme="majorEastAsia" w:hAnsi="Calibri" w:cs="Calibri"/>
          <w:sz w:val="22"/>
          <w:szCs w:val="22"/>
        </w:rPr>
        <w:t xml:space="preserve">PCR products were cloned using the StrataClone PCR Cloning Kit (Qiagen) according to the manufacturer’s instructions. Briefly, PCR products were mixed with StrataClone Cloning Buffer and StrataClone Vector Mix and incubated at RT for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before transformation into StrataClone chemically competent cells. Transformed cells were plated onto LB-agar plates containing ampicillin and incubated overnight at 37°C. Individual colonies were selected for plasmid extraction and Sanger sequencing to determine indel mutations at the targeted locus.</w:t>
      </w:r>
      <w:r w:rsidRPr="007139CC">
        <w:rPr>
          <w:rStyle w:val="eop"/>
          <w:rFonts w:ascii="Calibri" w:eastAsiaTheme="majorEastAsia" w:hAnsi="Calibri" w:cs="Calibri"/>
          <w:sz w:val="22"/>
          <w:szCs w:val="22"/>
        </w:rPr>
        <w:t> </w:t>
      </w:r>
    </w:p>
    <w:p w14:paraId="0885DF1B"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sz w:val="22"/>
          <w:szCs w:val="22"/>
        </w:rPr>
        <w:t> </w:t>
      </w:r>
    </w:p>
    <w:p w14:paraId="12CCB806"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PHF2 in vitro kinase assay</w:t>
      </w:r>
      <w:r w:rsidRPr="007139CC">
        <w:rPr>
          <w:rStyle w:val="eop"/>
          <w:rFonts w:ascii="Calibri" w:eastAsiaTheme="majorEastAsia" w:hAnsi="Calibri" w:cs="Calibri"/>
          <w:sz w:val="22"/>
          <w:szCs w:val="22"/>
        </w:rPr>
        <w:t> </w:t>
      </w:r>
    </w:p>
    <w:p w14:paraId="52BC6DE8" w14:textId="0DD2F7BD"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Recombinant GST–PHF2 protein fragments (amino acids 1–365, 366–734 and 735–1096), specifically generated for this project by the MRC Protein Phosphorylation and Ubiquitylation Unit (MRC-PPU) Reagents and Services, were used as substrates. Recombinant ERK2 and RSK1 kinases were also obtained from the MRC-PPU Reagents and Services catalogue. </w:t>
      </w:r>
      <w:r w:rsidRPr="007139CC">
        <w:rPr>
          <w:rStyle w:val="eop"/>
          <w:rFonts w:ascii="Calibri" w:eastAsiaTheme="majorEastAsia" w:hAnsi="Calibri" w:cs="Calibri"/>
          <w:sz w:val="22"/>
          <w:szCs w:val="22"/>
        </w:rPr>
        <w:t> </w:t>
      </w:r>
    </w:p>
    <w:p w14:paraId="21D1522C" w14:textId="643A18AD"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 xml:space="preserve">GST–PHF2 fragments were incubated with either ERK2 or RSK1 kinases in the presence of 5 mM adenosine triphosphate (ATP) (from Sigma-Aldrich) and kinase buffer [0.5 M Tris-HCl pH 7.5, 1 mM EDTA, 100 mM MgCl2 and 20 mM DTT] and up to 20 µl of water. The mix was incubated for 30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30°C. The reaction was stopped by adding LDS-RA mix (7 µl Sample buffer (LDS) and 3 µl of reducing agent) and boiling the mixture at 95°C for 5 </w:t>
      </w:r>
      <w:r w:rsidR="00A572A4">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Controls of no PHF2, no kinase, GST only or myelin basic protein (MBP – used as positive control) were run alongside, using the same conditions.</w:t>
      </w:r>
      <w:r w:rsidRPr="007139CC">
        <w:rPr>
          <w:rStyle w:val="eop"/>
          <w:rFonts w:ascii="Calibri" w:eastAsiaTheme="majorEastAsia" w:hAnsi="Calibri" w:cs="Calibri"/>
          <w:sz w:val="22"/>
          <w:szCs w:val="22"/>
        </w:rPr>
        <w:t> </w:t>
      </w:r>
    </w:p>
    <w:p w14:paraId="48AD7E3D" w14:textId="77777777" w:rsidR="00A572A4" w:rsidRDefault="00A572A4" w:rsidP="007139CC">
      <w:pPr>
        <w:pStyle w:val="paragraph"/>
        <w:spacing w:before="0" w:beforeAutospacing="0" w:after="0" w:afterAutospacing="0"/>
        <w:jc w:val="both"/>
        <w:textAlignment w:val="baseline"/>
        <w:rPr>
          <w:rStyle w:val="normaltextrun"/>
          <w:rFonts w:ascii="Calibri" w:eastAsiaTheme="majorEastAsia" w:hAnsi="Calibri" w:cs="Calibri"/>
          <w:b/>
          <w:bCs/>
          <w:sz w:val="22"/>
          <w:szCs w:val="22"/>
        </w:rPr>
      </w:pPr>
    </w:p>
    <w:p w14:paraId="764A233E" w14:textId="139B5235"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b/>
          <w:bCs/>
          <w:sz w:val="22"/>
          <w:szCs w:val="22"/>
        </w:rPr>
        <w:t>In-gel digestion assay</w:t>
      </w:r>
      <w:r w:rsidRPr="007139CC">
        <w:rPr>
          <w:rStyle w:val="eop"/>
          <w:rFonts w:ascii="Calibri" w:eastAsiaTheme="majorEastAsia" w:hAnsi="Calibri" w:cs="Calibri"/>
          <w:sz w:val="22"/>
          <w:szCs w:val="22"/>
        </w:rPr>
        <w:t> </w:t>
      </w:r>
    </w:p>
    <w:p w14:paraId="153709BF" w14:textId="09333DB5"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normaltextrun"/>
          <w:rFonts w:ascii="Calibri" w:eastAsiaTheme="majorEastAsia" w:hAnsi="Calibri" w:cs="Calibri"/>
          <w:sz w:val="22"/>
          <w:szCs w:val="22"/>
        </w:rPr>
        <w:t>Samples from the in vitro kinase assay were run in an SDS-PAGE gel following protein staining by incubation with Coomassie blue. In-gel digestion was then performed following a standard protocol (Shevchenko et al., 2006). Briefly</w:t>
      </w:r>
      <w:r w:rsidR="00A572A4">
        <w:rPr>
          <w:rStyle w:val="normaltextrun"/>
          <w:rFonts w:ascii="Calibri" w:eastAsiaTheme="majorEastAsia" w:hAnsi="Calibri" w:cs="Calibri"/>
          <w:sz w:val="22"/>
          <w:szCs w:val="22"/>
        </w:rPr>
        <w:t xml:space="preserve">, </w:t>
      </w:r>
      <w:r w:rsidRPr="007139CC">
        <w:rPr>
          <w:rStyle w:val="normaltextrun"/>
          <w:rFonts w:ascii="Calibri" w:eastAsiaTheme="majorEastAsia" w:hAnsi="Calibri" w:cs="Calibri"/>
          <w:sz w:val="22"/>
          <w:szCs w:val="22"/>
        </w:rPr>
        <w:t xml:space="preserve">bands of interest were cut </w:t>
      </w:r>
      <w:r w:rsidR="00A572A4">
        <w:rPr>
          <w:rStyle w:val="normaltextrun"/>
          <w:rFonts w:ascii="Calibri" w:eastAsiaTheme="majorEastAsia" w:hAnsi="Calibri" w:cs="Calibri"/>
          <w:sz w:val="22"/>
          <w:szCs w:val="22"/>
        </w:rPr>
        <w:t xml:space="preserve">from </w:t>
      </w:r>
      <w:r w:rsidRPr="007139CC">
        <w:rPr>
          <w:rStyle w:val="normaltextrun"/>
          <w:rFonts w:ascii="Calibri" w:eastAsiaTheme="majorEastAsia" w:hAnsi="Calibri" w:cs="Calibri"/>
          <w:sz w:val="22"/>
          <w:szCs w:val="22"/>
        </w:rPr>
        <w:t>the gel in 1mm pieces</w:t>
      </w:r>
      <w:r w:rsidR="00A572A4">
        <w:rPr>
          <w:rStyle w:val="normaltextrun"/>
          <w:rFonts w:ascii="Calibri" w:eastAsiaTheme="majorEastAsia" w:hAnsi="Calibri" w:cs="Calibri"/>
          <w:sz w:val="22"/>
          <w:szCs w:val="22"/>
        </w:rPr>
        <w:t xml:space="preserve">, </w:t>
      </w:r>
      <w:r w:rsidRPr="007139CC">
        <w:rPr>
          <w:rStyle w:val="normaltextrun"/>
          <w:rFonts w:ascii="Calibri" w:eastAsiaTheme="majorEastAsia" w:hAnsi="Calibri" w:cs="Calibri"/>
          <w:sz w:val="22"/>
          <w:szCs w:val="22"/>
        </w:rPr>
        <w:t>transferred to tubes</w:t>
      </w:r>
      <w:r w:rsidR="00A572A4">
        <w:rPr>
          <w:rStyle w:val="normaltextrun"/>
          <w:rFonts w:ascii="Calibri" w:eastAsiaTheme="majorEastAsia" w:hAnsi="Calibri" w:cs="Calibri"/>
          <w:sz w:val="22"/>
          <w:szCs w:val="22"/>
        </w:rPr>
        <w:t xml:space="preserve"> and </w:t>
      </w:r>
      <w:r w:rsidRPr="007139CC">
        <w:rPr>
          <w:rStyle w:val="normaltextrun"/>
          <w:rFonts w:ascii="Calibri" w:eastAsiaTheme="majorEastAsia" w:hAnsi="Calibri" w:cs="Calibri"/>
          <w:sz w:val="22"/>
          <w:szCs w:val="22"/>
        </w:rPr>
        <w:t>destained by incubation in 50 mM ammonium bicarbonate (NH₄HCO₃) containing 50% acetonitrile (ACN) with shaking at RT. </w:t>
      </w:r>
      <w:r w:rsidR="00A572A4">
        <w:rPr>
          <w:rStyle w:val="normaltextrun"/>
          <w:rFonts w:ascii="Calibri" w:eastAsiaTheme="majorEastAsia" w:hAnsi="Calibri" w:cs="Calibri"/>
          <w:sz w:val="22"/>
          <w:szCs w:val="22"/>
        </w:rPr>
        <w:t>E</w:t>
      </w:r>
      <w:r w:rsidRPr="007139CC">
        <w:rPr>
          <w:rStyle w:val="normaltextrun"/>
          <w:rFonts w:ascii="Calibri" w:eastAsiaTheme="majorEastAsia" w:hAnsi="Calibri" w:cs="Calibri"/>
          <w:sz w:val="22"/>
          <w:szCs w:val="22"/>
        </w:rPr>
        <w:t xml:space="preserve">xcess of fresh 10 mM DTT in 100 mM ABC was </w:t>
      </w:r>
      <w:r w:rsidR="00A572A4">
        <w:rPr>
          <w:rStyle w:val="normaltextrun"/>
          <w:rFonts w:ascii="Calibri" w:eastAsiaTheme="majorEastAsia" w:hAnsi="Calibri" w:cs="Calibri"/>
          <w:sz w:val="22"/>
          <w:szCs w:val="22"/>
        </w:rPr>
        <w:t xml:space="preserve">then </w:t>
      </w:r>
      <w:r w:rsidRPr="007139CC">
        <w:rPr>
          <w:rStyle w:val="normaltextrun"/>
          <w:rFonts w:ascii="Calibri" w:eastAsiaTheme="majorEastAsia" w:hAnsi="Calibri" w:cs="Calibri"/>
          <w:sz w:val="22"/>
          <w:szCs w:val="22"/>
        </w:rPr>
        <w:t xml:space="preserve">added and </w:t>
      </w:r>
      <w:r w:rsidR="00A572A4">
        <w:rPr>
          <w:rStyle w:val="normaltextrun"/>
          <w:rFonts w:ascii="Calibri" w:eastAsiaTheme="majorEastAsia" w:hAnsi="Calibri" w:cs="Calibri"/>
          <w:sz w:val="22"/>
          <w:szCs w:val="22"/>
        </w:rPr>
        <w:t xml:space="preserve">samples </w:t>
      </w:r>
      <w:r w:rsidRPr="007139CC">
        <w:rPr>
          <w:rStyle w:val="normaltextrun"/>
          <w:rFonts w:ascii="Calibri" w:eastAsiaTheme="majorEastAsia" w:hAnsi="Calibri" w:cs="Calibri"/>
          <w:sz w:val="22"/>
          <w:szCs w:val="22"/>
        </w:rPr>
        <w:t>left shaking for 30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at RT. The supernatant was removed, and an excess of 50 mM iodoacetamide (or 2-chloracetamide) in 100 mM ABC was added and left shaking in the dark at RT for 30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The supernatant was removed, and gel pieces washed with an excess of 100 mM ABC, shaking at RT for 15 </w:t>
      </w:r>
      <w:r w:rsidR="00A572A4">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The supernatant was removed, and gel pieces washed with an excess of 20 mM ABC, 50% CAN, shaking at RT for 15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The supernatant was removed and the gel pieces were washed with an excess of 100% CAN, shaking at RT for 5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Next, protease digestion (trypsin) was performed [5 µg/ml trypsin in 20 mM ABC, 9% CAN], incubating for ~12-16 hours at 37ºC. The supernatant was evaporated in a gyrovap using the “V-AQ”. Finally, the peptide pellets were resuspended in 25-50 µl 1% FA (or 0.5% acetic acid/0.1% TFA) by incubating at RT for 10 </w:t>
      </w:r>
      <w:r w:rsidR="00B8764F">
        <w:rPr>
          <w:rStyle w:val="normaltextrun"/>
          <w:rFonts w:ascii="Calibri" w:eastAsiaTheme="majorEastAsia" w:hAnsi="Calibri" w:cs="Calibri"/>
          <w:sz w:val="22"/>
          <w:szCs w:val="22"/>
        </w:rPr>
        <w:t>min.</w:t>
      </w:r>
      <w:r w:rsidRPr="007139CC">
        <w:rPr>
          <w:rStyle w:val="normaltextrun"/>
          <w:rFonts w:ascii="Calibri" w:eastAsiaTheme="majorEastAsia" w:hAnsi="Calibri" w:cs="Calibri"/>
          <w:sz w:val="22"/>
          <w:szCs w:val="22"/>
        </w:rPr>
        <w:t xml:space="preserve"> with shaking. The supernatant was transferred to a clean tube, and samples were ready for mass spectrometry analysis.</w:t>
      </w:r>
      <w:r w:rsidRPr="007139CC">
        <w:rPr>
          <w:rStyle w:val="eop"/>
          <w:rFonts w:ascii="Calibri" w:eastAsiaTheme="majorEastAsia" w:hAnsi="Calibri" w:cs="Calibri"/>
          <w:sz w:val="22"/>
          <w:szCs w:val="22"/>
        </w:rPr>
        <w:t> </w:t>
      </w:r>
    </w:p>
    <w:p w14:paraId="7B7DA067" w14:textId="77777777" w:rsidR="007139CC" w:rsidRPr="007139CC" w:rsidRDefault="007139CC" w:rsidP="007139CC">
      <w:pPr>
        <w:pStyle w:val="paragraph"/>
        <w:spacing w:before="0" w:beforeAutospacing="0" w:after="0" w:afterAutospacing="0"/>
        <w:jc w:val="both"/>
        <w:textAlignment w:val="baseline"/>
        <w:rPr>
          <w:rFonts w:ascii="Calibri" w:hAnsi="Calibri" w:cs="Calibri"/>
          <w:sz w:val="22"/>
          <w:szCs w:val="22"/>
        </w:rPr>
      </w:pPr>
      <w:r w:rsidRPr="007139CC">
        <w:rPr>
          <w:rStyle w:val="eop"/>
          <w:rFonts w:ascii="Calibri" w:eastAsiaTheme="majorEastAsia" w:hAnsi="Calibri" w:cs="Calibri"/>
          <w:color w:val="0078D4"/>
          <w:sz w:val="22"/>
          <w:szCs w:val="22"/>
        </w:rPr>
        <w:t> </w:t>
      </w:r>
    </w:p>
    <w:p w14:paraId="1D7F7C37" w14:textId="77777777" w:rsidR="007139CC" w:rsidRPr="00A572A4" w:rsidRDefault="007139CC" w:rsidP="007139CC">
      <w:pPr>
        <w:pStyle w:val="paragraph"/>
        <w:spacing w:before="0" w:beforeAutospacing="0" w:after="0" w:afterAutospacing="0"/>
        <w:jc w:val="both"/>
        <w:textAlignment w:val="baseline"/>
        <w:rPr>
          <w:rFonts w:ascii="Calibri" w:hAnsi="Calibri" w:cs="Calibri"/>
          <w:b/>
          <w:bCs/>
          <w:sz w:val="22"/>
          <w:szCs w:val="22"/>
        </w:rPr>
      </w:pPr>
      <w:r w:rsidRPr="00A572A4">
        <w:rPr>
          <w:rStyle w:val="normaltextrun"/>
          <w:rFonts w:ascii="Calibri" w:eastAsiaTheme="majorEastAsia" w:hAnsi="Calibri" w:cs="Calibri"/>
          <w:b/>
          <w:bCs/>
          <w:sz w:val="22"/>
          <w:szCs w:val="22"/>
        </w:rPr>
        <w:t>Statistical analyses</w:t>
      </w:r>
      <w:r w:rsidRPr="00A572A4">
        <w:rPr>
          <w:rStyle w:val="eop"/>
          <w:rFonts w:ascii="Calibri" w:eastAsiaTheme="majorEastAsia" w:hAnsi="Calibri" w:cs="Calibri"/>
          <w:b/>
          <w:bCs/>
          <w:sz w:val="22"/>
          <w:szCs w:val="22"/>
        </w:rPr>
        <w:t> </w:t>
      </w:r>
    </w:p>
    <w:p w14:paraId="3ECD19EE" w14:textId="5C51CA44" w:rsidR="007139CC" w:rsidRPr="007139CC" w:rsidRDefault="00A572A4" w:rsidP="007139CC">
      <w:pPr>
        <w:pStyle w:val="paragraph"/>
        <w:spacing w:before="0" w:beforeAutospacing="0" w:after="0" w:afterAutospacing="0"/>
        <w:jc w:val="both"/>
        <w:textAlignment w:val="baseline"/>
        <w:rPr>
          <w:rFonts w:ascii="Calibri" w:hAnsi="Calibri" w:cs="Calibri"/>
          <w:sz w:val="22"/>
          <w:szCs w:val="22"/>
        </w:rPr>
      </w:pPr>
      <w:r>
        <w:rPr>
          <w:rStyle w:val="normaltextrun"/>
          <w:rFonts w:ascii="Calibri" w:eastAsiaTheme="majorEastAsia" w:hAnsi="Calibri" w:cs="Calibri"/>
          <w:sz w:val="22"/>
          <w:szCs w:val="22"/>
        </w:rPr>
        <w:t>S</w:t>
      </w:r>
      <w:r w:rsidR="007139CC" w:rsidRPr="007139CC">
        <w:rPr>
          <w:rStyle w:val="normaltextrun"/>
          <w:rFonts w:ascii="Calibri" w:eastAsiaTheme="majorEastAsia" w:hAnsi="Calibri" w:cs="Calibri"/>
          <w:sz w:val="22"/>
          <w:szCs w:val="22"/>
        </w:rPr>
        <w:t>tatistical approaches used</w:t>
      </w:r>
      <w:r>
        <w:rPr>
          <w:rStyle w:val="normaltextrun"/>
          <w:rFonts w:ascii="Calibri" w:eastAsiaTheme="majorEastAsia" w:hAnsi="Calibri" w:cs="Calibri"/>
          <w:sz w:val="22"/>
          <w:szCs w:val="22"/>
        </w:rPr>
        <w:t xml:space="preserve"> are included in the relevant Methods sections above. </w:t>
      </w:r>
    </w:p>
    <w:p w14:paraId="77442929" w14:textId="77777777" w:rsidR="00B37A82" w:rsidRPr="007139CC" w:rsidRDefault="00B37A82">
      <w:pPr>
        <w:rPr>
          <w:rFonts w:ascii="Calibri" w:hAnsi="Calibri" w:cs="Calibri"/>
          <w:sz w:val="22"/>
          <w:szCs w:val="22"/>
        </w:rPr>
      </w:pPr>
    </w:p>
    <w:sectPr w:rsidR="00B37A82" w:rsidRPr="007139CC" w:rsidSect="00D53AEE">
      <w:pgSz w:w="11900" w:h="16840"/>
      <w:pgMar w:top="1440" w:right="1797" w:bottom="1440" w:left="179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e Storey (Staff)" w:date="2026-02-25T12:52:00Z" w:initials="KS(">
    <w:p w14:paraId="00229497" w14:textId="77777777" w:rsidR="00E931BD" w:rsidRDefault="00E931BD" w:rsidP="00E931BD">
      <w:r>
        <w:rPr>
          <w:rStyle w:val="CommentReference"/>
        </w:rPr>
        <w:annotationRef/>
      </w:r>
      <w:r>
        <w:rPr>
          <w:sz w:val="20"/>
          <w:szCs w:val="20"/>
        </w:rPr>
        <w:t>+ Marek comments</w:t>
      </w:r>
    </w:p>
  </w:comment>
  <w:comment w:id="1" w:author="Kate Storey (Staff)" w:date="2026-02-25T12:20:00Z" w:initials="KS(">
    <w:p w14:paraId="7265D8FE" w14:textId="62336EEA" w:rsidR="007139CC" w:rsidRDefault="007139CC" w:rsidP="007139CC">
      <w:r>
        <w:rPr>
          <w:rStyle w:val="CommentReference"/>
        </w:rPr>
        <w:annotationRef/>
      </w:r>
      <w:r>
        <w:rPr>
          <w:sz w:val="20"/>
          <w:szCs w:val="20"/>
        </w:rPr>
        <w:t>provide info on where these came from - did you design them ? or were these available commercially?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229497" w15:done="0"/>
  <w15:commentEx w15:paraId="7265D8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47F57" w16cex:dateUtc="2026-02-25T12:52:00Z"/>
  <w16cex:commentExtensible w16cex:durableId="6C02B3F3" w16cex:dateUtc="2026-02-25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229497" w16cid:durableId="0B447F57"/>
  <w16cid:commentId w16cid:paraId="7265D8FE" w16cid:durableId="6C02B3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 Storey (Staff)">
    <w15:presenceInfo w15:providerId="AD" w15:userId="S::KGStorey@dundee.ac.uk::bcfd0f31-6ead-47f5-89cc-3f7a606552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9CC"/>
    <w:rsid w:val="000251A8"/>
    <w:rsid w:val="0003348E"/>
    <w:rsid w:val="00035F8A"/>
    <w:rsid w:val="0004087E"/>
    <w:rsid w:val="00054737"/>
    <w:rsid w:val="00061986"/>
    <w:rsid w:val="00065070"/>
    <w:rsid w:val="00085F70"/>
    <w:rsid w:val="000C5CA0"/>
    <w:rsid w:val="000E1519"/>
    <w:rsid w:val="000F1F5A"/>
    <w:rsid w:val="000F25B1"/>
    <w:rsid w:val="00104085"/>
    <w:rsid w:val="00105A02"/>
    <w:rsid w:val="00113CF2"/>
    <w:rsid w:val="00142643"/>
    <w:rsid w:val="00144D88"/>
    <w:rsid w:val="00152306"/>
    <w:rsid w:val="00154F28"/>
    <w:rsid w:val="00162739"/>
    <w:rsid w:val="0018037B"/>
    <w:rsid w:val="001C0DD0"/>
    <w:rsid w:val="001D10AB"/>
    <w:rsid w:val="001D2A06"/>
    <w:rsid w:val="001D34ED"/>
    <w:rsid w:val="001D63E4"/>
    <w:rsid w:val="001F39CB"/>
    <w:rsid w:val="002367A4"/>
    <w:rsid w:val="0025582D"/>
    <w:rsid w:val="00277D7B"/>
    <w:rsid w:val="00285AF3"/>
    <w:rsid w:val="00286607"/>
    <w:rsid w:val="0029631E"/>
    <w:rsid w:val="002A1483"/>
    <w:rsid w:val="002A1DE4"/>
    <w:rsid w:val="002D1562"/>
    <w:rsid w:val="003104AB"/>
    <w:rsid w:val="00310636"/>
    <w:rsid w:val="003212B2"/>
    <w:rsid w:val="00325217"/>
    <w:rsid w:val="003349A3"/>
    <w:rsid w:val="00345BC1"/>
    <w:rsid w:val="003551EE"/>
    <w:rsid w:val="00360CB8"/>
    <w:rsid w:val="00367767"/>
    <w:rsid w:val="00371C46"/>
    <w:rsid w:val="00372EAE"/>
    <w:rsid w:val="00380527"/>
    <w:rsid w:val="0038087F"/>
    <w:rsid w:val="00392579"/>
    <w:rsid w:val="003A60B0"/>
    <w:rsid w:val="003B2221"/>
    <w:rsid w:val="003B4366"/>
    <w:rsid w:val="003C47C3"/>
    <w:rsid w:val="003E2895"/>
    <w:rsid w:val="003F1569"/>
    <w:rsid w:val="003F4497"/>
    <w:rsid w:val="00437841"/>
    <w:rsid w:val="00460935"/>
    <w:rsid w:val="004739A2"/>
    <w:rsid w:val="004A070B"/>
    <w:rsid w:val="004A63B1"/>
    <w:rsid w:val="004B72D4"/>
    <w:rsid w:val="004D5175"/>
    <w:rsid w:val="004E37DA"/>
    <w:rsid w:val="004E4FED"/>
    <w:rsid w:val="00502022"/>
    <w:rsid w:val="005660BB"/>
    <w:rsid w:val="0057046F"/>
    <w:rsid w:val="00574EB7"/>
    <w:rsid w:val="0058600F"/>
    <w:rsid w:val="00587256"/>
    <w:rsid w:val="00594B34"/>
    <w:rsid w:val="005B6B3F"/>
    <w:rsid w:val="005C0ACD"/>
    <w:rsid w:val="005D0CDF"/>
    <w:rsid w:val="005D5E04"/>
    <w:rsid w:val="005D7017"/>
    <w:rsid w:val="005F1DE2"/>
    <w:rsid w:val="0060095C"/>
    <w:rsid w:val="00601EE6"/>
    <w:rsid w:val="00604E46"/>
    <w:rsid w:val="00615861"/>
    <w:rsid w:val="00625279"/>
    <w:rsid w:val="006305E4"/>
    <w:rsid w:val="00630D53"/>
    <w:rsid w:val="006458DD"/>
    <w:rsid w:val="006479A3"/>
    <w:rsid w:val="00667135"/>
    <w:rsid w:val="006717E2"/>
    <w:rsid w:val="00675ADE"/>
    <w:rsid w:val="00692E14"/>
    <w:rsid w:val="006A17AC"/>
    <w:rsid w:val="006B15DD"/>
    <w:rsid w:val="006E3E1C"/>
    <w:rsid w:val="006F132D"/>
    <w:rsid w:val="007139CC"/>
    <w:rsid w:val="00720614"/>
    <w:rsid w:val="007274B7"/>
    <w:rsid w:val="00736B39"/>
    <w:rsid w:val="00754514"/>
    <w:rsid w:val="00755662"/>
    <w:rsid w:val="007610D0"/>
    <w:rsid w:val="007627AF"/>
    <w:rsid w:val="00765F5E"/>
    <w:rsid w:val="00770173"/>
    <w:rsid w:val="00770F0D"/>
    <w:rsid w:val="00776176"/>
    <w:rsid w:val="007819D1"/>
    <w:rsid w:val="007866DE"/>
    <w:rsid w:val="00794343"/>
    <w:rsid w:val="007A44C6"/>
    <w:rsid w:val="007A4D02"/>
    <w:rsid w:val="007B4962"/>
    <w:rsid w:val="007C0408"/>
    <w:rsid w:val="007D7BF0"/>
    <w:rsid w:val="007F4DEA"/>
    <w:rsid w:val="00805C4D"/>
    <w:rsid w:val="008103A6"/>
    <w:rsid w:val="00811116"/>
    <w:rsid w:val="00832EDD"/>
    <w:rsid w:val="0084300D"/>
    <w:rsid w:val="00870317"/>
    <w:rsid w:val="00874EFE"/>
    <w:rsid w:val="008868E2"/>
    <w:rsid w:val="00892BB7"/>
    <w:rsid w:val="008949A0"/>
    <w:rsid w:val="008A00BC"/>
    <w:rsid w:val="008A186E"/>
    <w:rsid w:val="008B0721"/>
    <w:rsid w:val="008C4325"/>
    <w:rsid w:val="008D4E99"/>
    <w:rsid w:val="008F2744"/>
    <w:rsid w:val="00914686"/>
    <w:rsid w:val="009161F3"/>
    <w:rsid w:val="00917471"/>
    <w:rsid w:val="009319DA"/>
    <w:rsid w:val="0093253A"/>
    <w:rsid w:val="0094788E"/>
    <w:rsid w:val="0095750C"/>
    <w:rsid w:val="00995288"/>
    <w:rsid w:val="009B0DB1"/>
    <w:rsid w:val="009C6279"/>
    <w:rsid w:val="009C62D1"/>
    <w:rsid w:val="009D2F04"/>
    <w:rsid w:val="009D7D3F"/>
    <w:rsid w:val="009F3AE6"/>
    <w:rsid w:val="009F5521"/>
    <w:rsid w:val="00A2740A"/>
    <w:rsid w:val="00A320CC"/>
    <w:rsid w:val="00A54A22"/>
    <w:rsid w:val="00A572A4"/>
    <w:rsid w:val="00A64DEE"/>
    <w:rsid w:val="00A65CF5"/>
    <w:rsid w:val="00A6667C"/>
    <w:rsid w:val="00AA07A9"/>
    <w:rsid w:val="00AB7D45"/>
    <w:rsid w:val="00AC445F"/>
    <w:rsid w:val="00AD3BFF"/>
    <w:rsid w:val="00AE239B"/>
    <w:rsid w:val="00AE23B5"/>
    <w:rsid w:val="00B14D1F"/>
    <w:rsid w:val="00B206ED"/>
    <w:rsid w:val="00B21C16"/>
    <w:rsid w:val="00B263BC"/>
    <w:rsid w:val="00B37A82"/>
    <w:rsid w:val="00B37F7B"/>
    <w:rsid w:val="00B54212"/>
    <w:rsid w:val="00B65436"/>
    <w:rsid w:val="00B77BC0"/>
    <w:rsid w:val="00B8764F"/>
    <w:rsid w:val="00BA3A08"/>
    <w:rsid w:val="00BB46FD"/>
    <w:rsid w:val="00BD4F5B"/>
    <w:rsid w:val="00BE2271"/>
    <w:rsid w:val="00BF14BD"/>
    <w:rsid w:val="00BF33AE"/>
    <w:rsid w:val="00BF6558"/>
    <w:rsid w:val="00C0557B"/>
    <w:rsid w:val="00C06E72"/>
    <w:rsid w:val="00C07E82"/>
    <w:rsid w:val="00C2371D"/>
    <w:rsid w:val="00C23E4C"/>
    <w:rsid w:val="00C277F7"/>
    <w:rsid w:val="00C41143"/>
    <w:rsid w:val="00C458AC"/>
    <w:rsid w:val="00C45986"/>
    <w:rsid w:val="00C5690E"/>
    <w:rsid w:val="00C57296"/>
    <w:rsid w:val="00C6463A"/>
    <w:rsid w:val="00C67E2D"/>
    <w:rsid w:val="00C851D6"/>
    <w:rsid w:val="00C91C30"/>
    <w:rsid w:val="00CA1CC8"/>
    <w:rsid w:val="00CA3D68"/>
    <w:rsid w:val="00CC620C"/>
    <w:rsid w:val="00CD1F5D"/>
    <w:rsid w:val="00CE5711"/>
    <w:rsid w:val="00CF0B7E"/>
    <w:rsid w:val="00D07116"/>
    <w:rsid w:val="00D112D7"/>
    <w:rsid w:val="00D12D23"/>
    <w:rsid w:val="00D27985"/>
    <w:rsid w:val="00D30E0A"/>
    <w:rsid w:val="00D33AEA"/>
    <w:rsid w:val="00D40E44"/>
    <w:rsid w:val="00D47282"/>
    <w:rsid w:val="00D53AEE"/>
    <w:rsid w:val="00D53D92"/>
    <w:rsid w:val="00D76720"/>
    <w:rsid w:val="00D87A30"/>
    <w:rsid w:val="00DB1967"/>
    <w:rsid w:val="00DC68AF"/>
    <w:rsid w:val="00DC716B"/>
    <w:rsid w:val="00DD1E14"/>
    <w:rsid w:val="00DD2951"/>
    <w:rsid w:val="00DD49D7"/>
    <w:rsid w:val="00DD635D"/>
    <w:rsid w:val="00DE32EE"/>
    <w:rsid w:val="00E021A5"/>
    <w:rsid w:val="00E16AD1"/>
    <w:rsid w:val="00E20C33"/>
    <w:rsid w:val="00E268F1"/>
    <w:rsid w:val="00E31485"/>
    <w:rsid w:val="00E40652"/>
    <w:rsid w:val="00E52606"/>
    <w:rsid w:val="00E54D1C"/>
    <w:rsid w:val="00E7189C"/>
    <w:rsid w:val="00E74621"/>
    <w:rsid w:val="00E84264"/>
    <w:rsid w:val="00E931BD"/>
    <w:rsid w:val="00E950D7"/>
    <w:rsid w:val="00EA65ED"/>
    <w:rsid w:val="00EB4AC5"/>
    <w:rsid w:val="00EB50BE"/>
    <w:rsid w:val="00EF333B"/>
    <w:rsid w:val="00EF55A6"/>
    <w:rsid w:val="00F13388"/>
    <w:rsid w:val="00F15DC3"/>
    <w:rsid w:val="00F24645"/>
    <w:rsid w:val="00F42E22"/>
    <w:rsid w:val="00F70883"/>
    <w:rsid w:val="00F9277F"/>
    <w:rsid w:val="00F971AF"/>
    <w:rsid w:val="00FA39BB"/>
    <w:rsid w:val="00FA6CE9"/>
    <w:rsid w:val="00FC4120"/>
    <w:rsid w:val="00FF7146"/>
    <w:rsid w:val="00FF78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9786D6"/>
  <w15:chartTrackingRefBased/>
  <w15:docId w15:val="{43EC32C4-95A3-7B4F-B9CF-568D511A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9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9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9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9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9CC"/>
    <w:rPr>
      <w:rFonts w:eastAsiaTheme="majorEastAsia" w:cstheme="majorBidi"/>
      <w:color w:val="272727" w:themeColor="text1" w:themeTint="D8"/>
    </w:rPr>
  </w:style>
  <w:style w:type="paragraph" w:styleId="Title">
    <w:name w:val="Title"/>
    <w:basedOn w:val="Normal"/>
    <w:next w:val="Normal"/>
    <w:link w:val="TitleChar"/>
    <w:uiPriority w:val="10"/>
    <w:qFormat/>
    <w:rsid w:val="007139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9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9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39CC"/>
    <w:rPr>
      <w:i/>
      <w:iCs/>
      <w:color w:val="404040" w:themeColor="text1" w:themeTint="BF"/>
    </w:rPr>
  </w:style>
  <w:style w:type="paragraph" w:styleId="ListParagraph">
    <w:name w:val="List Paragraph"/>
    <w:basedOn w:val="Normal"/>
    <w:uiPriority w:val="34"/>
    <w:qFormat/>
    <w:rsid w:val="007139CC"/>
    <w:pPr>
      <w:ind w:left="720"/>
      <w:contextualSpacing/>
    </w:pPr>
  </w:style>
  <w:style w:type="character" w:styleId="IntenseEmphasis">
    <w:name w:val="Intense Emphasis"/>
    <w:basedOn w:val="DefaultParagraphFont"/>
    <w:uiPriority w:val="21"/>
    <w:qFormat/>
    <w:rsid w:val="007139CC"/>
    <w:rPr>
      <w:i/>
      <w:iCs/>
      <w:color w:val="0F4761" w:themeColor="accent1" w:themeShade="BF"/>
    </w:rPr>
  </w:style>
  <w:style w:type="paragraph" w:styleId="IntenseQuote">
    <w:name w:val="Intense Quote"/>
    <w:basedOn w:val="Normal"/>
    <w:next w:val="Normal"/>
    <w:link w:val="IntenseQuoteChar"/>
    <w:uiPriority w:val="30"/>
    <w:qFormat/>
    <w:rsid w:val="00713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9CC"/>
    <w:rPr>
      <w:i/>
      <w:iCs/>
      <w:color w:val="0F4761" w:themeColor="accent1" w:themeShade="BF"/>
    </w:rPr>
  </w:style>
  <w:style w:type="character" w:styleId="IntenseReference">
    <w:name w:val="Intense Reference"/>
    <w:basedOn w:val="DefaultParagraphFont"/>
    <w:uiPriority w:val="32"/>
    <w:qFormat/>
    <w:rsid w:val="007139CC"/>
    <w:rPr>
      <w:b/>
      <w:bCs/>
      <w:smallCaps/>
      <w:color w:val="0F4761" w:themeColor="accent1" w:themeShade="BF"/>
      <w:spacing w:val="5"/>
    </w:rPr>
  </w:style>
  <w:style w:type="paragraph" w:customStyle="1" w:styleId="paragraph">
    <w:name w:val="paragraph"/>
    <w:basedOn w:val="Normal"/>
    <w:rsid w:val="007139C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7139CC"/>
  </w:style>
  <w:style w:type="character" w:customStyle="1" w:styleId="eop">
    <w:name w:val="eop"/>
    <w:basedOn w:val="DefaultParagraphFont"/>
    <w:rsid w:val="007139CC"/>
  </w:style>
  <w:style w:type="character" w:styleId="CommentReference">
    <w:name w:val="annotation reference"/>
    <w:basedOn w:val="DefaultParagraphFont"/>
    <w:uiPriority w:val="99"/>
    <w:semiHidden/>
    <w:unhideWhenUsed/>
    <w:rsid w:val="007139CC"/>
    <w:rPr>
      <w:sz w:val="16"/>
      <w:szCs w:val="16"/>
    </w:rPr>
  </w:style>
  <w:style w:type="paragraph" w:styleId="CommentText">
    <w:name w:val="annotation text"/>
    <w:basedOn w:val="Normal"/>
    <w:link w:val="CommentTextChar"/>
    <w:uiPriority w:val="99"/>
    <w:semiHidden/>
    <w:unhideWhenUsed/>
    <w:rsid w:val="007139CC"/>
    <w:rPr>
      <w:sz w:val="20"/>
      <w:szCs w:val="20"/>
    </w:rPr>
  </w:style>
  <w:style w:type="character" w:customStyle="1" w:styleId="CommentTextChar">
    <w:name w:val="Comment Text Char"/>
    <w:basedOn w:val="DefaultParagraphFont"/>
    <w:link w:val="CommentText"/>
    <w:uiPriority w:val="99"/>
    <w:semiHidden/>
    <w:rsid w:val="007139CC"/>
    <w:rPr>
      <w:sz w:val="20"/>
      <w:szCs w:val="20"/>
    </w:rPr>
  </w:style>
  <w:style w:type="paragraph" w:styleId="CommentSubject">
    <w:name w:val="annotation subject"/>
    <w:basedOn w:val="CommentText"/>
    <w:next w:val="CommentText"/>
    <w:link w:val="CommentSubjectChar"/>
    <w:uiPriority w:val="99"/>
    <w:semiHidden/>
    <w:unhideWhenUsed/>
    <w:rsid w:val="007139CC"/>
    <w:rPr>
      <w:b/>
      <w:bCs/>
    </w:rPr>
  </w:style>
  <w:style w:type="character" w:customStyle="1" w:styleId="CommentSubjectChar">
    <w:name w:val="Comment Subject Char"/>
    <w:basedOn w:val="CommentTextChar"/>
    <w:link w:val="CommentSubject"/>
    <w:uiPriority w:val="99"/>
    <w:semiHidden/>
    <w:rsid w:val="007139CC"/>
    <w:rPr>
      <w:b/>
      <w:bCs/>
      <w:sz w:val="20"/>
      <w:szCs w:val="20"/>
    </w:rPr>
  </w:style>
  <w:style w:type="paragraph" w:styleId="Revision">
    <w:name w:val="Revision"/>
    <w:hidden/>
    <w:uiPriority w:val="99"/>
    <w:semiHidden/>
    <w:rsid w:val="00B87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prot.org/"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Storey (Staff)</dc:creator>
  <cp:keywords/>
  <dc:description/>
  <cp:lastModifiedBy>Marek Gierlinski (Staff)</cp:lastModifiedBy>
  <cp:revision>7</cp:revision>
  <dcterms:created xsi:type="dcterms:W3CDTF">2026-02-25T12:11:00Z</dcterms:created>
  <dcterms:modified xsi:type="dcterms:W3CDTF">2026-03-03T10:28:00Z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2026-02-25T12:44:05Z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3ee545bc-79dd-4eef-be95-6fa50442e322</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