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40"/>
        </w:rPr>
        <w:t>Uwagi do wtyczki BricsCadRc — część 2</w:t>
      </w:r>
    </w:p>
    <w:p>
      <w:r>
        <w:rPr>
          <w:i/>
          <w:sz w:val="20"/>
        </w:rPr>
        <w:t>Zakres: Twoje commity aba0ed1..bd3efa2 (origin/main) + testy na projektach D32 North of Trent Road i B34C Holbrook · 9 października 2026</w:t>
      </w:r>
    </w:p>
    <w:p/>
    <w:p>
      <w:pPr>
        <w:spacing w:after="80"/>
      </w:pPr>
      <w:r>
        <w:rPr>
          <w:i w:val="0"/>
        </w:rPr>
        <w:t>Cześć! Przenosząc Twoje najnowsze zmiany do naszej wersji (NA Smart RC), porównaliśmy obie wtyczki: wzory BBS względem BS 8666:2020, BBS na trzech Twoich rysunkach z D32 (PLOT 9-10, 20, 30) oraz automatyczne zbrojenie 10 płyt Holbrook. Poniżej rzeczy, które warto poprawić u Ciebie — każda z miejscem w kodzie (stan origin/main, bd3efa2), skutkiem i propozycją. U nas wszystkie są już poprawione i przetestowane, więc chętnie podeślemy kod.</w:t>
      </w:r>
    </w:p>
    <w:p>
      <w:pPr>
        <w:spacing w:after="80"/>
      </w:pPr>
      <w:r>
        <w:rPr>
          <w:i w:val="0"/>
        </w:rPr>
        <w:t xml:space="preserve">Dobra wiadomość na start: </w:t>
      </w:r>
    </w:p>
    <w:p>
      <w:pPr>
        <w:pStyle w:val="ListBullet"/>
        <w:spacing w:after="40"/>
      </w:pPr>
      <w:r>
        <w:t>BBS na PLOT 9-10, 20 i 30 wychodzi w obu wersjach identycznie (pozycje, sztuki, długości, masy), bez żadnego wyjątku przy edycji (COPY, MOVE, ROTATE, MIRROR, STRETCH, ERASE, UNDO/REDO, ponowny AutoRebar, zapis i ponowne otwarcie).</w:t>
      </w:r>
    </w:p>
    <w:p>
      <w:pPr>
        <w:pStyle w:val="ListBullet"/>
        <w:spacing w:after="40"/>
      </w:pPr>
      <w:r>
        <w:t>Przenieśliśmy od Ciebie: Import Analysis (bd3efa2), Log.Error z limitem (96809d3), B3 ADD (f854684), okno „identyczny pręt”, komunikat po COPY, RC_BAR_END tylko na rozkładzie i przywracanie pręta po odrzuconym gripie (e7b600d). Dzięki!</w:t>
      </w:r>
    </w:p>
    <w:p>
      <w:pPr>
        <w:pStyle w:val="Heading1"/>
      </w:pPr>
      <w:r>
        <w:rPr>
          <w:color w:val="1F4E79"/>
        </w:rPr>
        <w:t>Podsumowanie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397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02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Priorytet</w:t>
            </w:r>
          </w:p>
        </w:tc>
        <w:tc>
          <w:tcPr>
            <w:tcW w:type="dxa" w:w="2948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Problem</w:t>
            </w:r>
          </w:p>
        </w:tc>
        <w:tc>
          <w:tcPr>
            <w:tcW w:type="dxa" w:w="238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Gdzie (bd3efa2)</w:t>
            </w:r>
          </w:p>
        </w:tc>
        <w:tc>
          <w:tcPr>
            <w:tcW w:type="dxa" w:w="289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Skutek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020"/>
            <w:shd w:val="clear" w:color="auto" w:fill="F4CCCC"/>
          </w:tcPr>
          <w:p>
            <w:r/>
            <w:r>
              <w:rPr>
                <w:sz w:val="18"/>
              </w:rPr>
              <w:t>Krytyczny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Kształt 46: parametr D wstawiony w środek listy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ShapeCodeLibrary (9d565be)</w:t>
            </w:r>
          </w:p>
        </w:tc>
        <w:tc>
          <w:tcPr>
            <w:tcW w:type="dxa" w:w="2891"/>
          </w:tcPr>
          <w:p>
            <w:r/>
            <w:r>
              <w:rPr>
                <w:sz w:val="18"/>
              </w:rPr>
              <w:t>Stare pręty 46: E czytane jako D, E = 0 → za krótki pręt w BBS bez ostrzeżenia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020"/>
            <w:shd w:val="clear" w:color="auto" w:fill="F4CCCC"/>
          </w:tcPr>
          <w:p>
            <w:r/>
            <w:r>
              <w:rPr>
                <w:sz w:val="18"/>
              </w:rPr>
              <w:t>Krytyczny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Wzory BS 8666 niezgodne z normą 2020 (14, 29, 31, 47, 56, 63, 64, 75, r dla d &gt; 25)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BarShape.cs, ShapeCodeLibrary.cs</w:t>
            </w:r>
          </w:p>
        </w:tc>
        <w:tc>
          <w:tcPr>
            <w:tcW w:type="dxa" w:w="2891"/>
          </w:tcPr>
          <w:p>
            <w:r/>
            <w:r>
              <w:rPr>
                <w:sz w:val="18"/>
              </w:rPr>
              <w:t>Długości cięcia błędne o 25–425 mm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020"/>
            <w:shd w:val="clear" w:color="auto" w:fill="FCE5CD"/>
          </w:tcPr>
          <w:p>
            <w:r/>
            <w:r>
              <w:rPr>
                <w:sz w:val="18"/>
              </w:rPr>
              <w:t>Wysoki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Kształty 27 i 28: −2d zamiast −d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ShapeCodeLibrary.cs:87, 92</w:t>
            </w:r>
          </w:p>
        </w:tc>
        <w:tc>
          <w:tcPr>
            <w:tcW w:type="dxa" w:w="2891"/>
          </w:tcPr>
          <w:p>
            <w:r/>
            <w:r>
              <w:rPr>
                <w:sz w:val="18"/>
              </w:rPr>
              <w:t>Pręt za krótki o 25–50 mm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020"/>
            <w:shd w:val="clear" w:color="auto" w:fill="FCE5CD"/>
          </w:tcPr>
          <w:p>
            <w:r/>
            <w:r>
              <w:rPr>
                <w:sz w:val="18"/>
              </w:rPr>
              <w:t>Wysoki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COPY płyty z rozkładami: znacznik płyty kopii wskazuje oryginał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TagWithSlab / bc2055e</w:t>
            </w:r>
          </w:p>
        </w:tc>
        <w:tc>
          <w:tcPr>
            <w:tcW w:type="dxa" w:w="2891"/>
          </w:tcPr>
          <w:p>
            <w:r/>
            <w:r>
              <w:rPr>
                <w:sz w:val="18"/>
              </w:rPr>
              <w:t>Ponowne generowanie na oryginale kasuje rozkłady kopii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020"/>
            <w:shd w:val="clear" w:color="auto" w:fill="FCE5CD"/>
          </w:tcPr>
          <w:p>
            <w:r/>
            <w:r>
              <w:rPr>
                <w:sz w:val="18"/>
              </w:rPr>
              <w:t>Wysoki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Garaże „GARAGE …” w GA i raporcie przebicia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GaImportEngine, PunchingReport, PunchingAutoEngine</w:t>
            </w:r>
          </w:p>
        </w:tc>
        <w:tc>
          <w:tcPr>
            <w:tcW w:type="dxa" w:w="2891"/>
          </w:tcPr>
          <w:p>
            <w:r/>
            <w:r>
              <w:rPr>
                <w:sz w:val="18"/>
              </w:rPr>
              <w:t>Pale garaży doklejane do poprzedniego plotu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020"/>
            <w:shd w:val="clear" w:color="auto" w:fill="FCE5CD"/>
          </w:tcPr>
          <w:p>
            <w:r/>
            <w:r>
              <w:rPr>
                <w:sz w:val="18"/>
              </w:rPr>
              <w:t>Wysoki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Etykieta płyty z map sklejona z dalszym tekstem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MapImportEngine.cs:74, 131, 279</w:t>
            </w:r>
          </w:p>
        </w:tc>
        <w:tc>
          <w:tcPr>
            <w:tcW w:type="dxa" w:w="2891"/>
          </w:tcPr>
          <w:p>
            <w:r/>
            <w:r>
              <w:rPr>
                <w:sz w:val="18"/>
              </w:rPr>
              <w:t>Zła płyta podświetlona; Punching nie dopasowuje płyty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020"/>
            <w:shd w:val="clear" w:color="auto" w:fill="FCE5CD"/>
          </w:tcPr>
          <w:p>
            <w:r/>
            <w:r>
              <w:rPr>
                <w:sz w:val="18"/>
              </w:rPr>
              <w:t>Wysoki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Szum 0,01 mm w obrysie blokuje całą siatkę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AutoRebarEngine (tol. 1e-3)</w:t>
            </w:r>
          </w:p>
        </w:tc>
        <w:tc>
          <w:tcPr>
            <w:tcW w:type="dxa" w:w="2891"/>
          </w:tcPr>
          <w:p>
            <w:r/>
            <w:r>
              <w:rPr>
                <w:sz w:val="18"/>
              </w:rPr>
              <w:t>„Płyta pod kątem” — brak B1/B2/T1/T2/UB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020"/>
            <w:shd w:val="clear" w:color="auto" w:fill="FFF2CC"/>
          </w:tcPr>
          <w:p>
            <w:r/>
            <w:r>
              <w:rPr>
                <w:sz w:val="18"/>
              </w:rPr>
              <w:t>Średni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Mapa „PLOT 52” pasuje do „PLOT 526”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AutoRebarEngine.Add.cs:90, 135</w:t>
            </w:r>
          </w:p>
        </w:tc>
        <w:tc>
          <w:tcPr>
            <w:tcW w:type="dxa" w:w="2891"/>
          </w:tcPr>
          <w:p>
            <w:r/>
            <w:r>
              <w:rPr>
                <w:sz w:val="18"/>
              </w:rPr>
              <w:t>Dozbrojenie z mapy innej płyty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020"/>
            <w:shd w:val="clear" w:color="auto" w:fill="FFF2CC"/>
          </w:tcPr>
          <w:p>
            <w:r/>
            <w:r>
              <w:rPr>
                <w:sz w:val="18"/>
              </w:rPr>
              <w:t>Średni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Stary pierścień 44 liczony wzorem kapelusza / 44 bez znacznika wersji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ShapeCodeLibrary / BarShape</w:t>
            </w:r>
          </w:p>
        </w:tc>
        <w:tc>
          <w:tcPr>
            <w:tcW w:type="dxa" w:w="2891"/>
          </w:tcPr>
          <w:p>
            <w:r/>
            <w:r>
              <w:rPr>
                <w:sz w:val="18"/>
              </w:rPr>
              <w:t>525 mm zamiast ok. 1875; niejednoznaczność przy wymianie rysunków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020"/>
            <w:shd w:val="clear" w:color="auto" w:fill="FFF2CC"/>
          </w:tcPr>
          <w:p>
            <w:r/>
            <w:r>
              <w:rPr>
                <w:sz w:val="18"/>
              </w:rPr>
              <w:t>Średni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RC_COUNT_BBS: masa z wymiaru A, 0 prętów dla AutoRebar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BbsCounter.cs:30, 55</w:t>
            </w:r>
          </w:p>
        </w:tc>
        <w:tc>
          <w:tcPr>
            <w:tcW w:type="dxa" w:w="2891"/>
          </w:tcPr>
          <w:p>
            <w:r/>
            <w:r>
              <w:rPr>
                <w:sz w:val="18"/>
              </w:rPr>
              <w:t>Tonaż zaniżony albo zerowy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020"/>
            <w:shd w:val="clear" w:color="auto" w:fill="E2EFDA"/>
          </w:tcPr>
          <w:p>
            <w:r/>
            <w:r>
              <w:rPr>
                <w:sz w:val="18"/>
              </w:rPr>
              <w:t>Niski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Zaokrąglenie do 25 mm bez tolerancji; brak blokady długości ≤ 0 / NaN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BarShape.cs:43</w:t>
            </w:r>
          </w:p>
        </w:tc>
        <w:tc>
          <w:tcPr>
            <w:tcW w:type="dxa" w:w="2891"/>
          </w:tcPr>
          <w:p>
            <w:r/>
            <w:r>
              <w:rPr>
                <w:sz w:val="18"/>
              </w:rPr>
              <w:t>Sporadycznie +25 mm; ujemna długość w BBS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020"/>
            <w:shd w:val="clear" w:color="auto" w:fill="E2EFDA"/>
          </w:tcPr>
          <w:p>
            <w:r/>
            <w:r>
              <w:rPr>
                <w:sz w:val="18"/>
              </w:rPr>
              <w:t>Niski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Nib w GA jako otwarta linia nie jest wykrywany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NibDetector / GaImportEngine</w:t>
            </w:r>
          </w:p>
        </w:tc>
        <w:tc>
          <w:tcPr>
            <w:tcW w:type="dxa" w:w="2891"/>
          </w:tcPr>
          <w:p>
            <w:r/>
            <w:r>
              <w:rPr>
                <w:sz w:val="18"/>
              </w:rPr>
              <w:t>Płyta liczona bez nibu (propozycja funkcji)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1F4E79"/>
        </w:rPr>
        <w:t>1. Kształt 46 — nowy parametr wstawiony w środek listy (9d565be)</w:t>
      </w:r>
    </w:p>
    <w:p>
      <w:pPr>
        <w:spacing w:after="80"/>
      </w:pPr>
      <w:r>
        <w:rPr>
          <w:i w:val="0"/>
        </w:rPr>
        <w:t>W 9d565be lista parametrów kształtu 46 zmieniła się z {A, B, C, E} na {A, B, C, D, E}. XData pręta (RC_SINGLE_BAR) jest pozycyjne — parametr i trafia do pola LengthA…E o indeksie i. Rysunek zapisany przed 9d565be ma dla 46 w czwartym polu wymiar E, więc po aktualizacji:</w:t>
      </w:r>
    </w:p>
    <w:p>
      <w:pPr>
        <w:pStyle w:val="ListBullet"/>
        <w:spacing w:after="40"/>
      </w:pPr>
      <w:r>
        <w:t>to samo pole jest czytane jako D (głębokość korby), a E = 0,</w:t>
      </w:r>
    </w:p>
    <w:p>
      <w:pPr>
        <w:pStyle w:val="ListBullet"/>
        <w:spacing w:after="40"/>
      </w:pPr>
      <w:r>
        <w:t>długość cięcia A + 2B + C + E liczy się z E = 0 — za krótki pręt w BBS, bez żadnego ostrzeżenia (przykład: A200/B400/C600/E200 → 1600 zamiast 1800),</w:t>
      </w:r>
    </w:p>
    <w:p>
      <w:pPr>
        <w:pStyle w:val="ListBullet"/>
        <w:spacing w:after="40"/>
      </w:pPr>
      <w:r>
        <w:t>obrys przebudowany (MOVE, RC_EDIT_BAR) dostaje D = dawne E i traci ostatnią półkę.</w:t>
      </w:r>
    </w:p>
    <w:p>
      <w:pPr>
        <w:spacing w:after="80"/>
      </w:pPr>
      <w:r>
        <w:rPr>
          <w:i w:val="0"/>
        </w:rPr>
        <w:t xml:space="preserve">Propozycja: </w:t>
      </w:r>
    </w:p>
    <w:p>
      <w:pPr>
        <w:pStyle w:val="ListBullet"/>
        <w:spacing w:after="40"/>
      </w:pPr>
      <w:r>
        <w:t>nowe parametry kształtu tylko dopisywać na końcu listy (u nas 46 = {A, B, C, E, D}; stare rekordy mają w nowym polu 0, czyli wartość domyślną),</w:t>
      </w:r>
    </w:p>
    <w:p>
      <w:pPr>
        <w:pStyle w:val="ListBullet"/>
        <w:spacing w:after="40"/>
      </w:pPr>
      <w:r>
        <w:t>albo — jeśli kolejność musi się zmienić — jawna migracja rekordów przy odczycie (znacznik wersji kształtu na końcu rekordu) i ostrzeżenie w BBS.</w:t>
      </w:r>
    </w:p>
    <w:p>
      <w:pPr>
        <w:spacing w:after="80"/>
      </w:pPr>
      <w:r>
        <w:rPr>
          <w:i/>
        </w:rPr>
        <w:t>Uwaga: między naszą a Twoją wersją D i E są dziś zamienione w obie strony, a rysunek nie ma znacznika, po którym da się to rozpoznać automatycznie. Warto to uzgodnić, zanim rysunki z 46 zaczną krążyć.</w:t>
      </w:r>
    </w:p>
    <w:p>
      <w:pPr>
        <w:pStyle w:val="Heading1"/>
      </w:pPr>
      <w:r>
        <w:rPr>
          <w:color w:val="1F4E79"/>
        </w:rPr>
        <w:t>2. Wzory BS 8666 — porównanie z normą 2020</w:t>
      </w:r>
    </w:p>
    <w:p>
      <w:pPr>
        <w:spacing w:after="80"/>
      </w:pPr>
      <w:r>
        <w:rPr>
          <w:i w:val="0"/>
        </w:rPr>
        <w:t>Zbudowaliśmy harness, który kompiluje BarShape.cs i ShapeCodeLibrary.cs z obu wersji i liczy 12 288 przypadków (H8–H40 × siatka wymiarów A–E), oraz przeliczyliśmy normę BS 8666:2020 (Table 2, Table 5, kl. 7.2), firmowy arkusz BARSCHED i BS8666_Calculator_260226_v1.xlsx. Różnice względem normy 2020 w Twojej wersji: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Kod / parametr</w:t>
            </w:r>
          </w:p>
        </w:tc>
        <w:tc>
          <w:tcPr>
            <w:tcW w:type="dxa" w:w="249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Twoja wersja (bd3efa2)</w:t>
            </w:r>
          </w:p>
        </w:tc>
        <w:tc>
          <w:tcPr>
            <w:tcW w:type="dxa" w:w="2608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BS 8666:2020</w:t>
            </w:r>
          </w:p>
        </w:tc>
        <w:tc>
          <w:tcPr>
            <w:tcW w:type="dxa" w:w="215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Różnica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Promień r, d &gt; 25 (BarShape.cs:50-51)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4d: H32 = 128, H40 = 160; H25 = 87,5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Table 2: H32 = 112, H40 = 140, H25 = 87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kształty z r dla H32/H40 krótsze o 25–50 mm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00 — pręt prosty (BarShape.cs:43)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bez zaokrąglenia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kl. 7.2: każda długość w górę do 25 mm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do +24 mm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14 (:43)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A + C − 4d (norma 2005)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A + (C)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do 150 mm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27, 28 (:87, :92)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A + B + C − 0,5r − 2d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A + B + (C) − 0,5r − d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25–50 mm (pręt za krótki)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29 (:97)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… − 0,5r − 2d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A + B + (C)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brak podstaw w normie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31 (:100-103)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pomija D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uwzględnia D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do 275 mm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47 (:157)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wzór z normy 2005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2A + B + 2C + 2q − 3r − 6d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do 300 mm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56 (:183)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brak 2E, złe odliczenia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… + 2E − 1,5r − 3d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do 425 mm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63 przy C = 0 (:177)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max(14d, 150)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max(14d, 140) dla d ≤ 16; 13d dla d ≥ 20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25–50 mm (np. H20: 280 vs 260)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64 (:188)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wzór bez podstaw w normie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wg Table 5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75 (:194)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brak „+25”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z „+25”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25 mm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 w:val="0"/>
        </w:rPr>
        <w:t>Skąd te różnice: firmowy kalkulator BS8666_Calculator_260226_v1.xlsx nie jest wiarygodnym wzorcem — formuła promienia jest tylko w komórce AA16 (od wiersza 17 r = 0, więc długości zawyżone, np. 41 H40: 1550 zamiast 1275), r = 4d jest niezgodne z Table 2 mimo nagłówka, a 14, 29, 47, 56, 63 i 75 to wzory z normy 2005. Arkusz BARSCHED („conforms to BS 8666:2005”) ma zaktualizowane promienie, ale te same stare wzory i drobne błędy P (H16 = 130 zamiast 140, H25 = 240 zamiast 235, linki H12 = 160 zamiast 155). Proponujemy trzymać się normy 2020 i poprawić też oba arkusze w biurze.</w:t>
      </w:r>
    </w:p>
    <w:p>
      <w:pPr>
        <w:spacing w:after="80"/>
      </w:pPr>
      <w:r>
        <w:rPr>
          <w:i/>
        </w:rPr>
        <w:t>Wzór 27/28 sprawdziliśmy bezpośrednio na stronie Table 5 normy: „A + B + (C) − 0.5r − d”. Ten błąd był też u nas — poprawiony.</w:t>
      </w:r>
    </w:p>
    <w:p>
      <w:pPr>
        <w:pStyle w:val="Heading1"/>
      </w:pPr>
      <w:r>
        <w:rPr>
          <w:color w:val="1F4E79"/>
        </w:rPr>
        <w:t>3. COPY płyty z rozkładami — znacznik płyty (TagWithSlab, bc2055e)</w:t>
      </w:r>
    </w:p>
    <w:p>
      <w:pPr>
        <w:spacing w:after="80"/>
      </w:pPr>
      <w:r>
        <w:rPr>
          <w:i w:val="0"/>
        </w:rPr>
        <w:t>Komentarz w AutoRebarEngine.TagWithSlab mówi „1005: COPY płyty z rozkładami przemapuje znacznik”. W BricsCAD V25 tak nie jest — pola 1005 klonów przy COPY / MIRROR / ARRAY wskazują oryginały (sprawdzone testem w BricsCAD). Skutek: znacznik RC_AUTOREBAR_SLAB kopii wskazuje obrys oryginału, więc ponowne generowanie (np. B1) na oryginale kasuje rozkłady skopiowanej płyty — w teście 3 z 3. Twoja mapa klonowania (bc2055e) tego znacznika nie przepina; to samo dotyczy wymiarów ADD (RC_ADD [1]) oraz przynależności rozkładów w RC_SECTION i rzucie dolnym.</w:t>
      </w:r>
    </w:p>
    <w:p>
      <w:pPr>
        <w:spacing w:after="80"/>
      </w:pPr>
      <w:r>
        <w:rPr>
          <w:i w:val="0"/>
        </w:rPr>
        <w:t>U nas: znacznik kopii → klon obrysu, gdy płytę skopiowano razem z rozkładami; kopia samych rozkładów → znacznik pusty, przynależność rozstrzyga test punktu w obrysie.</w:t>
      </w:r>
    </w:p>
    <w:p>
      <w:pPr>
        <w:pStyle w:val="Heading1"/>
      </w:pPr>
      <w:r>
        <w:rPr>
          <w:color w:val="1F4E79"/>
        </w:rPr>
        <w:t>4. Garaże „GARAGE …” (Prepare GA i raport przebicia)</w:t>
      </w:r>
    </w:p>
    <w:p>
      <w:pPr>
        <w:spacing w:after="80"/>
      </w:pPr>
      <w:r>
        <w:rPr>
          <w:i w:val="0"/>
        </w:rPr>
        <w:t>Na Holbrook garaże są osobnymi płytami („GARAGE 321”, layout GA3215, w raporcie „GARAGE 321 (4 piles)”, pale G32101…). U Ciebie:</w:t>
      </w:r>
    </w:p>
    <w:p>
      <w:pPr>
        <w:pStyle w:val="ListBullet"/>
        <w:spacing w:after="40"/>
      </w:pPr>
      <w:r>
        <w:t>GaImportEngine.IsPlotLabel (^PLOTS?\s+\S) nie widzi garaży — Prepare GA nie pokazuje ich na liście,</w:t>
      </w:r>
    </w:p>
    <w:p>
      <w:pPr>
        <w:pStyle w:val="ListBullet"/>
        <w:spacing w:after="40"/>
      </w:pPr>
      <w:r>
        <w:t>PunchingReport rozpoznaje nagłówek tylko po „PLOT” — wiersz garażu jest pomijany, a jego pale dopisują się do poprzedniej płyty: w raporcie part 1 PLOT 538 ma 23 pale zamiast 10, z ostrzeżeniem i tagami PH przy cudzych palach,</w:t>
      </w:r>
    </w:p>
    <w:p>
      <w:pPr>
        <w:pStyle w:val="ListBullet"/>
        <w:spacing w:after="40"/>
      </w:pPr>
      <w:r>
        <w:t>PunchingAutoEngine.Apply (l. 265) kasuje każdą notatkę MANUAL-NOTE, której płyta nie zaczyna się od „PLOT” — notatka garażu znika przy przebiciu dowolnej innej płyty.</w:t>
      </w:r>
    </w:p>
    <w:p>
      <w:pPr>
        <w:spacing w:after="80"/>
      </w:pPr>
      <w:r>
        <w:rPr>
          <w:i w:val="0"/>
        </w:rPr>
        <w:t>U nas: wspólne reguły nazw (PLOT / PLOTS / GARAGE / GARAGES + numer), dzisiejszy wynik dla „PLOT …” bez zmian, lista płyt: najpierw PLOT, potem GARAGE. Uwaga: GaTitleEngine szuka numeru „\bPLOT\s+(\d+)” — garaż bez DRAWING_NUMBER w GA nie dostanie zapasowego numeru rysunku RC.</w:t>
      </w:r>
    </w:p>
    <w:p>
      <w:pPr>
        <w:pStyle w:val="Heading1"/>
      </w:pPr>
      <w:r>
        <w:rPr>
          <w:color w:val="1F4E79"/>
        </w:rPr>
        <w:t>5. Błędy znalezione przy automatycznym zbrojeniu Holbrook</w:t>
      </w:r>
    </w:p>
    <w:p>
      <w:pPr>
        <w:pStyle w:val="Heading2"/>
      </w:pPr>
      <w:r>
        <w:rPr>
          <w:color w:val="1F4E79"/>
        </w:rPr>
        <w:t>5.1 Etykieta płyty z map sklejona z resztą nagłówka</w:t>
      </w:r>
    </w:p>
    <w:p>
      <w:pPr>
        <w:spacing w:after="80"/>
      </w:pPr>
      <w:r>
        <w:rPr>
          <w:i w:val="0"/>
        </w:rPr>
        <w:t>MapImportEngine bierze etykietę jako pierwszą linię MText.Text (l. 74, 131, 279). BricsCAD skleja w Text akapity, więc etykieta wychodzi np. „PLOT 526h = 225 mm | …”. Skutki: nieczytelna lista płyt, automatyczne podświetlenie nigdy nie trafia (podświetlona jest pierwsza, zła płyta), a Punching nie dopasowuje płyty i zawsze pokazuje okno wyboru.</w:t>
      </w:r>
    </w:p>
    <w:p>
      <w:pPr>
        <w:spacing w:after="80"/>
      </w:pPr>
      <w:r>
        <w:rPr>
          <w:i w:val="0"/>
        </w:rPr>
        <w:t>Propozycja: brać pierwszy akapit z MText.Contents (podział po \P, usunięcie kodów formatowania) i naprawiać już zapisane, sklejone etykiety przy odczycie.</w:t>
      </w:r>
    </w:p>
    <w:p>
      <w:pPr>
        <w:pStyle w:val="Heading2"/>
      </w:pPr>
      <w:r>
        <w:rPr>
          <w:color w:val="1F4E79"/>
        </w:rPr>
        <w:t>5.2 Szum w obrysie z GA blokuje siatkę</w:t>
      </w:r>
    </w:p>
    <w:p>
      <w:pPr>
        <w:spacing w:after="80"/>
      </w:pPr>
      <w:r>
        <w:rPr>
          <w:i w:val="0"/>
        </w:rPr>
        <w:t>Sprawdzenie osiowości obrysu ma tolerancję 1e-3 mm. W GA plotu 523 jedna krawędź ma odchyłkę 0,0115 mm — wtyczka pisze „nie obsługuje płyt pod kątem” i nie generuje B1/B2/T1/T2/UB. U nas: krawędź z odchyłką ≤ 4 mm (także łącznie w całej grupie wierzchołków — inaczej „schodki” sumują błąd) jest osiowa, a obliczenia idą na wyprostowanej kopii obrysu; rysunek bez zmian, obrys idealny daje wynik bit w bit jak dotąd.</w:t>
      </w:r>
    </w:p>
    <w:p>
      <w:pPr>
        <w:pStyle w:val="Heading2"/>
      </w:pPr>
      <w:r>
        <w:rPr>
          <w:color w:val="1F4E79"/>
        </w:rPr>
        <w:t>5.3 Dopasowanie mapy po prefiksie</w:t>
      </w:r>
    </w:p>
    <w:p>
      <w:pPr>
        <w:spacing w:after="80"/>
      </w:pPr>
      <w:r>
        <w:rPr>
          <w:i w:val="0"/>
        </w:rPr>
        <w:t>AutoRebarEngine.Add.cs:90 i :135: Norm(m.Plot).StartsWith(Norm(slabPlot)) — płyta „PLOT 52” dostaje mapy płyty „PLOT 526”. Propozycja: po prefiksie musi być koniec tekstu albo znak, który nie jest cyfrą ani „-”.</w:t>
      </w:r>
    </w:p>
    <w:p>
      <w:pPr>
        <w:pStyle w:val="Heading2"/>
      </w:pPr>
      <w:r>
        <w:rPr>
          <w:color w:val="1F4E79"/>
        </w:rPr>
        <w:t>5.4 RC_COUNT_BBS</w:t>
      </w:r>
    </w:p>
    <w:p>
      <w:pPr>
        <w:spacing w:after="80"/>
      </w:pPr>
      <w:r>
        <w:rPr>
          <w:i w:val="0"/>
        </w:rPr>
        <w:t>BbsCounter czyta tylko stare linie RC_BAR (XDataHelper.Read, l. 30), więc dla rysunków z AutoRebar pokazuje 0 prętów, a masę liczy z LengthA zamiast z długości cięcia (l. 55–57) — pręty gięte wychodzą za lekkie. Propozycja: to samo źródło co RC_BBS (BbsDrawingReader.ReadBars), z nadpisaną długością, bez podwójnego liczenia starych RC_BAR.</w:t>
      </w:r>
    </w:p>
    <w:p>
      <w:pPr>
        <w:pStyle w:val="Heading2"/>
      </w:pPr>
      <w:r>
        <w:rPr>
          <w:color w:val="1F4E79"/>
        </w:rPr>
        <w:t>5.5 Drobne w obliczaniu długości</w:t>
      </w:r>
    </w:p>
    <w:p>
      <w:pPr>
        <w:pStyle w:val="ListBullet"/>
        <w:spacing w:after="40"/>
      </w:pPr>
      <w:r>
        <w:t>Zaokrąglenie Math.Ceiling(raw / 25) * 25 bez tolerancji — przy współczynnikach 0,43 / 0,57 / 1,7 wynik czasem wychodzi minimalnie powyżej wielokrotności 25 i dostaje +25 mm (np. kształt 12, H12, A = 115, B = R = 920 → 650 zamiast 625). Propozycja: Math.Ceiling(raw / 25 − 1e-9) * 25.</w:t>
      </w:r>
    </w:p>
    <w:p>
      <w:pPr>
        <w:pStyle w:val="ListBullet"/>
        <w:spacing w:after="40"/>
      </w:pPr>
      <w:r>
        <w:t>Brak blokady długości ≤ 0 / NaN (np. kształt 21 z zerowymi wymiarami → −25 mm, kształt 11 H40 A = B = 10 → −75 mm). Propozycja: traktować jak błąd — pozycja BBS „brak długości” z komunikatem.</w:t>
      </w:r>
    </w:p>
    <w:p>
      <w:pPr>
        <w:pStyle w:val="ListBullet"/>
        <w:spacing w:after="40"/>
      </w:pPr>
      <w:r>
        <w:t>Stary pierścień „44” (tylko A) jest liczony wzorem kapelusza A − 2r − 4d (np. 525 mm zamiast ok. 1875). Kapelusz 44 nie ma też znacznika wersji, więc druga wtyczka nie odróżni go od starego pierścienia — warto dodać znacznik przy zapisie.</w:t>
      </w:r>
    </w:p>
    <w:p>
      <w:pPr>
        <w:pStyle w:val="Heading2"/>
      </w:pPr>
      <w:r>
        <w:rPr>
          <w:color w:val="1F4E79"/>
        </w:rPr>
        <w:t>5.6 Propozycja funkcji: nib z otwartej linii</w:t>
      </w:r>
    </w:p>
    <w:p>
      <w:pPr>
        <w:spacing w:after="80"/>
      </w:pPr>
      <w:r>
        <w:rPr>
          <w:i w:val="0"/>
        </w:rPr>
        <w:t>W GA nib jest zwykle otwartą polilinią 160 mm od krawędzi, z końcami dokładnie na obrysie (321, 458, 461-462, 525, 527, garaże). NibDetector wymaga zamkniętej polilinii, a Prepare GA (JoinLoops) łączy kawałki tylko między sobą — płyta jest liczona bez nibu. Dodatkowo w 319 JoinLoops skleja linię nibu z linią strefy pogrubienia 760 mm w zamknięty pas 600 mm, który Detect pomija, a oryginalne kawałki kasuje. U nas: automat domyka otwartą linię uskoku krawędzią obrysu (tolerancja 4 mm, tylko gdy nie ma zamkniętego nibu) w Prepare GA, RC_GENERATE i RC_SECTION — przed JoinLoops.</w:t>
      </w:r>
    </w:p>
    <w:p>
      <w:pPr>
        <w:pStyle w:val="Heading1"/>
      </w:pPr>
      <w:r>
        <w:rPr>
          <w:color w:val="1F4E79"/>
        </w:rPr>
        <w:t>6. Uwagi inżynierskie z Holbrook (do dyskusji)</w:t>
      </w:r>
    </w:p>
    <w:p>
      <w:pPr>
        <w:spacing w:after="80"/>
      </w:pPr>
      <w:r>
        <w:rPr>
          <w:i w:val="0"/>
        </w:rPr>
        <w:t>Automatyczne zbrojenie 10 płyt (526, 524, 523, 518-519, 525, 527, 458, 461-462, 322, 321) dało łącznie 18 786 kg wobec 18 021 kg z Plot Sign Off (+4,2%). Osiem płyt mieści się w ±3,4%. Odstają płyty z nibem zawiniętym na kilka krawędzi: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49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Płyta</w:t>
            </w:r>
          </w:p>
        </w:tc>
        <w:tc>
          <w:tcPr>
            <w:tcW w:type="dxa" w:w="136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Masa BBS [kg]</w:t>
            </w:r>
          </w:p>
        </w:tc>
        <w:tc>
          <w:tcPr>
            <w:tcW w:type="dxa" w:w="1247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Sign Off [t]</w:t>
            </w:r>
          </w:p>
        </w:tc>
        <w:tc>
          <w:tcPr>
            <w:tcW w:type="dxa" w:w="102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Różnica</w:t>
            </w:r>
          </w:p>
        </w:tc>
        <w:tc>
          <w:tcPr>
            <w:tcW w:type="dxa" w:w="3515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Uwagi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8"/>
              </w:rPr>
              <w:t>321 (L + nib, 3 krawędzie)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2143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1.629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+31,5%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18 rozkładów T2 przy nibie, UB 01/02/03, T IN NIB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8"/>
              </w:rPr>
              <w:t>525 (nib, 2 krawędzie)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2082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1.800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+15,6%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jw.; mapy dolne bez stref ADD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8"/>
              </w:rPr>
              <w:t>461-462 (300 mm)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2243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2.199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+2,0%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8"/>
              </w:rPr>
              <w:t>526 (prostokąt)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1681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1.740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−3,4%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t>Czy górne pręty mogą iść ciągiem nad uskokiem zamiast dzielenia na wiele odcinków przy krótkich „zawinięciach” nibu?</w:t>
      </w:r>
    </w:p>
    <w:p>
      <w:pPr>
        <w:pStyle w:val="ListBullet"/>
        <w:spacing w:after="40"/>
      </w:pPr>
      <w:r>
        <w:t>UB 02 w płycie 225 mm ma kształt 13 (715-115-715), a UB 01 kształt 21; w płycie 300 mm oba są 21 — zamierzone?</w:t>
      </w:r>
    </w:p>
    <w:p>
      <w:pPr>
        <w:pStyle w:val="ListBullet"/>
        <w:spacing w:after="40"/>
      </w:pPr>
      <w:r>
        <w:t>Szerokość nibu: GA 160 mm, model FEM 135 mm — wtyczka bierze 160 z rysunku.</w:t>
      </w:r>
    </w:p>
    <w:p>
      <w:pPr>
        <w:pStyle w:val="ListBullet"/>
        <w:spacing w:after="40"/>
      </w:pPr>
      <w:r>
        <w:t>Zakotwienie ADD &lt; 600 mm z jednej strony w 321, 322, 523, 524 i 527.</w:t>
      </w:r>
    </w:p>
    <w:p>
      <w:pPr>
        <w:pStyle w:val="ListBullet"/>
        <w:spacing w:after="40"/>
      </w:pPr>
      <w:r>
        <w:t>Komunikaty: „Mapa B1 strefa 1: brak As — przyjęto H10” pojawia się obok „B1 ADD … As = 786 mm2/m” (458); „Mapa T2 … przyjęto H10” przy mapach górnych, które i tak nie dają ADD.</w:t>
      </w:r>
    </w:p>
    <w:p>
      <w:pPr>
        <w:pStyle w:val="ListBullet"/>
        <w:spacing w:after="40"/>
      </w:pPr>
      <w:r>
        <w:t>Raport przebicia part 1: „PLOT 323: nagłówek 8 pali, w tabeli 0” (plot jest też w part 2).</w:t>
      </w:r>
    </w:p>
    <w:p>
      <w:pPr>
        <w:pStyle w:val="Heading1"/>
      </w:pPr>
      <w:r>
        <w:rPr>
          <w:color w:val="1F4E79"/>
        </w:rPr>
        <w:t>7. Czego nie przenieśliśmy i dlaczego</w:t>
      </w:r>
    </w:p>
    <w:p>
      <w:pPr>
        <w:pStyle w:val="ListBullet"/>
        <w:spacing w:after="40"/>
      </w:pPr>
      <w:r>
        <w:t>9d565be (kształty z listy, kalkulator firmowy) — zostajemy przy BS 8666:2020 (pkt 2), a kolejność parametrów 46 łamie stare rysunki (pkt 1).</w:t>
      </w:r>
    </w:p>
    <w:p>
      <w:pPr>
        <w:pStyle w:val="ListBullet"/>
        <w:spacing w:after="40"/>
      </w:pPr>
      <w:r>
        <w:t>2523164 (ROTATE / MIRROR) i kod bc2055e (mapa klonowania) — mieliśmy już własne odpowiedniki z testami; z bc2055e wzięliśmy tylko opis do dokumentacji.</w:t>
      </w:r>
    </w:p>
    <w:p>
      <w:pPr>
        <w:pStyle w:val="ListBullet"/>
        <w:spacing w:after="40"/>
      </w:pPr>
      <w:r>
        <w:t>Krok gripa 50 mm (e7b600d) — zostajemy przy 5 mm.</w:t>
      </w:r>
    </w:p>
    <w:p/>
    <w:p>
      <w:pPr>
        <w:spacing w:after="80"/>
      </w:pPr>
      <w:r>
        <w:rPr>
          <w:i/>
        </w:rPr>
        <w:t>Pełne raporty (tabele 12 288 przypadków BBS, logi testów, rysunki Holbrook z dopiskiem TEST ONLY) możemy podesłać. Rysunki: H:\Shared drives\ENGI\NA_ENGI_JOBS\B34C_DE736TQ004  - Holbrook  (319-333, 458-462, 518-545)\4.RC AUTO - TEST ONLY (NaSmartRc)\.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