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THT 1x stabilizator/stabilizer low dropout 5V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THT 1x buzzer &lt;40mA 5V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THT 1x kondensator/capacitor 100uF 16V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SMD 4x niebieski led wskaźnika/blue led of indicator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SMD 7x opornik/resistor 1k(4x led wskaźnika, 1x led grzania, 1x tranzystor, 1x dzielnik do ADC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SMD 2x opornik/resistor 3k(1x led czuwania, 1x dzielnik do ADC)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SMD 1x led czerwony/red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SMD 1x led zielony/green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SMD 4x kondensator/capacitor 100nF(2x do stabilizatora, 2x do ADC)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SMD 1x IRLR8743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THT 2x tact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SMD 1x dławik/coil 10uH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THT 1x Atmega 8a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