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Voorbereidend document — Persbericht "De Vlaming en zijn hof"</w:t>
      </w:r>
    </w:p>
    <w:p>
      <w:pPr>
        <w:pStyle w:val="Heading2"/>
      </w:pPr>
      <w:r>
        <w:t>Kernboodschap</w:t>
      </w:r>
    </w:p>
    <w:p>
      <w:r>
        <w:rPr>
          <w:i/>
          <w:sz w:val="18"/>
        </w:rPr>
        <w:t>De tuin blijft een verkoopversneller, maar is niet langer de enige motor van een snellere verkoop.</w:t>
      </w:r>
    </w:p>
    <w:p>
      <w:pPr>
        <w:pStyle w:val="ListBullet"/>
      </w:pPr>
      <w:r>
        <w:t>Huizen met tuin verkopen typisch ruim een maand sneller (82 vs. 118 dagen); in de lente loopt het verschil op tot zes weken.</w:t>
      </w:r>
    </w:p>
    <w:p>
      <w:pPr>
        <w:pStyle w:val="ListBullet"/>
      </w:pPr>
      <w:r>
        <w:t>Het effect houdt stand per woningtype, per provincie en in de grootste centrumsteden — daardoor lijkt het niet enkel verklaard door locatie of woningtype.</w:t>
      </w:r>
    </w:p>
    <w:p>
      <w:pPr>
        <w:pStyle w:val="ListBullet"/>
      </w:pPr>
      <w:r>
        <w:t>De markt versnelt en het tuinvoordeel krimpt: ook woningen zonder tuin verkopen nu vlotter.</w:t>
      </w:r>
    </w:p>
    <w:p>
      <w:pPr>
        <w:pStyle w:val="Heading2"/>
      </w:pPr>
      <w:r>
        <w:t>Concepttekst</w:t>
      </w:r>
    </w:p>
    <w:p>
      <w:pPr>
        <w:pStyle w:val="Heading3"/>
      </w:pPr>
      <w:r>
        <w:t>De Vlaming en zijn hof: huizen met tuin verkopen ruim een maand sneller — maar het verschil krimpt</w:t>
      </w:r>
    </w:p>
    <w:p>
      <w:r>
        <w:rPr>
          <w:b/>
        </w:rPr>
        <w:t>Een tuin blijft een opvallende verkoopversneller op de Vlaamse woningmarkt. Huizen met een tuin verkopen typisch ruim een maand sneller dan huizen zonder — een verschil dat in het voorjaar oploopt tot zes weken. Tegelijk verkopen woningen over de hele lijn sneller dan twee jaar geleden, waardoor vooral huizen zonder tuin hun achterstand verkleinen. Dat blijkt uit een analyse van ruim 50.000 verkochte huizen door vastgoedplatform Spotto.</w:t>
      </w:r>
    </w:p>
    <w:p>
      <w:r>
        <w:t xml:space="preserve">De tuin is in Vlaanderen eerder regel dan uitzondering: van alle huizen die de voorbije jaren te koop stonden, had </w:t>
      </w:r>
      <w:r>
        <w:rPr>
          <w:b/>
        </w:rPr>
        <w:t>86% een tuin</w:t>
      </w:r>
      <w:r>
        <w:t xml:space="preserve">. En die tuin maakt het verschil. Een huis met tuin stond typisch </w:t>
      </w:r>
      <w:r>
        <w:rPr>
          <w:b/>
        </w:rPr>
        <w:t>82 dagen</w:t>
      </w:r>
      <w:r>
        <w:t xml:space="preserve"> te koop, tegenover </w:t>
      </w:r>
      <w:r>
        <w:rPr>
          <w:b/>
        </w:rPr>
        <w:t>118 dagen</w:t>
      </w:r>
      <w:r>
        <w:t xml:space="preserve"> voor een huis zonder — een verschil van ruim een maand.</w:t>
      </w:r>
    </w:p>
    <w:p>
      <w:r>
        <w:rPr>
          <w:b/>
        </w:rPr>
        <w:t>In de lente loopt het tuinvoordeel het hoogst op.</w:t>
      </w:r>
      <w:r>
        <w:t xml:space="preserve"> In het voorjaar — precies wanneer kandidaat-kopers buiten gaan kijken — doet een woning met tuin er typisch </w:t>
      </w:r>
      <w:r>
        <w:rPr>
          <w:b/>
        </w:rPr>
        <w:t>79 dagen</w:t>
      </w:r>
      <w:r>
        <w:t xml:space="preserve"> over, tegenover </w:t>
      </w:r>
      <w:r>
        <w:rPr>
          <w:b/>
        </w:rPr>
        <w:t>121 dagen</w:t>
      </w:r>
      <w:r>
        <w:t xml:space="preserve"> zonder: een kloof van zes weken. Ook in de zomer is dat verschil vrijwel even groot.</w:t>
      </w:r>
    </w:p>
    <w:p>
      <w:r>
        <w:t>Het effect is bovendien niet louter een kwestie van woningtype. Ook wanneer we vergelijkbare woningen naast elkaar leggen — rijwoning met rijwoning, vrijstaande woning met vrijstaande woning — verkoopt de versie mét tuin telkens sneller. Dat suggereert dat de tuin een troef op zich is, en niet zomaar een bijproduct van het woningtype.</w:t>
      </w:r>
    </w:p>
    <w:p>
      <w:r>
        <w:rPr>
          <w:b/>
        </w:rPr>
        <w:t>In de stad telt zelfs beperkte buitenruimte.</w:t>
      </w:r>
      <w:r>
        <w:t xml:space="preserve"> Voor rijwoningen in de Vlaamse centrumsteden weegt buitenruimte het zwaarst. Een stadswoning zónder enige buitenruimte staat in het voorjaar typisch </w:t>
      </w:r>
      <w:r>
        <w:rPr>
          <w:b/>
        </w:rPr>
        <w:t>122 dagen</w:t>
      </w:r>
      <w:r>
        <w:t xml:space="preserve"> te koop — zes weken langer dan een vergelijkbare woning mét tuin (81 dagen). Een terras maakt al een deel van het verschil goed (88 dagen).</w:t>
      </w:r>
    </w:p>
    <w:p>
      <w:r>
        <w:rPr>
          <w:b/>
        </w:rPr>
        <w:t>Overal in Vlaanderen, met regionale accenten.</w:t>
      </w:r>
      <w:r>
        <w:t xml:space="preserve"> Het tuinvoordeel speelt in elke provincie: van 28 dagen in Vlaams-Brabant tot 47 dagen in West-Vlaanderen. Onder de centrumsteden is het effect het grootst in Antwerpen en Mechelen, waar een woning met tuin zo'n zeven weken sneller verkoopt dan een woning zonder. De tuin blijft er vaak een voordeel, al verschilt de grootte van dat effect sterk per stad.</w:t>
      </w:r>
    </w:p>
    <w:p>
      <w:r>
        <w:rPr>
          <w:b/>
        </w:rPr>
        <w:t>Het verschil wordt wel kleiner.</w:t>
      </w:r>
      <w:r>
        <w:t xml:space="preserve"> Woningen verkopen over de hele lijn sneller dan twee jaar geleden. In het voorjaar van 2023 raakte </w:t>
      </w:r>
      <w:r>
        <w:rPr>
          <w:b/>
        </w:rPr>
        <w:t>47% van de huizen mét tuin</w:t>
      </w:r>
      <w:r>
        <w:t xml:space="preserve"> binnen de drie maanden verkocht; in 2025 was dat </w:t>
      </w:r>
      <w:r>
        <w:rPr>
          <w:b/>
        </w:rPr>
        <w:t>60%</w:t>
      </w:r>
      <w:r>
        <w:t xml:space="preserve">. Maar huizen zónder tuin halen hun achterstand sneller in: zij gingen van </w:t>
      </w:r>
      <w:r>
        <w:rPr>
          <w:b/>
        </w:rPr>
        <w:t>33% naar 52%</w:t>
      </w:r>
      <w:r>
        <w:t xml:space="preserve">. Het gevolg: de kloof tussen wél en geen tuin kromp van </w:t>
      </w:r>
      <w:r>
        <w:rPr>
          <w:b/>
        </w:rPr>
        <w:t>14 naar 8 procentpunten</w:t>
      </w:r>
      <w:r>
        <w:t>.</w:t>
      </w:r>
    </w:p>
    <w:p>
      <w:pPr>
        <w:pStyle w:val="Heading2"/>
      </w:pPr>
      <w:r>
        <w:t>Cijfers &amp; tabellen</w:t>
      </w:r>
    </w:p>
    <w:p>
      <w:r>
        <w:rPr>
          <w:i/>
          <w:sz w:val="18"/>
        </w:rPr>
        <w:t>Lees de cijfers binnen elke tabel (tuin vs. geen tuin), niet tussen tabellen onderling: elke uitsplitsing steunt op een andere (deel)groep, waardoor de absolute verkooptijden verschillen. Het verschil tussen tuin en geen tuin is wél overal onderling vergelijkbaar.</w:t>
      </w:r>
    </w:p>
    <w:p>
      <w:pPr>
        <w:pStyle w:val="Heading3"/>
      </w:pPr>
      <w:r>
        <w:t>Tabel 1 — Tuin versus geen tuin (Vlaanderen, 2023–2025)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Groep</w:t>
            </w:r>
          </w:p>
        </w:tc>
        <w:tc>
          <w:tcPr>
            <w:tcW w:type="dxa" w:w="2880"/>
          </w:tcPr>
          <w:p>
            <w:r>
              <w:rPr>
                <w:b/>
              </w:rPr>
              <w:t>Aantal woningen</w:t>
            </w:r>
          </w:p>
        </w:tc>
        <w:tc>
          <w:tcPr>
            <w:tcW w:type="dxa" w:w="2880"/>
          </w:tcPr>
          <w:p>
            <w:r>
              <w:rPr>
                <w:b/>
              </w:rPr>
              <w:t>Typisch aantal dagen te koop</w:t>
            </w:r>
          </w:p>
        </w:tc>
      </w:tr>
      <w:tr>
        <w:tc>
          <w:tcPr>
            <w:tcW w:type="dxa" w:w="2880"/>
          </w:tcPr>
          <w:p>
            <w:r>
              <w:t>Met tuin</w:t>
            </w:r>
          </w:p>
        </w:tc>
        <w:tc>
          <w:tcPr>
            <w:tcW w:type="dxa" w:w="2880"/>
          </w:tcPr>
          <w:p>
            <w:r>
              <w:t>44.715</w:t>
            </w:r>
          </w:p>
        </w:tc>
        <w:tc>
          <w:tcPr>
            <w:tcW w:type="dxa" w:w="2880"/>
          </w:tcPr>
          <w:p>
            <w:r>
              <w:rPr>
                <w:b/>
              </w:rPr>
              <w:t>82</w:t>
            </w:r>
          </w:p>
        </w:tc>
      </w:tr>
      <w:tr>
        <w:tc>
          <w:tcPr>
            <w:tcW w:type="dxa" w:w="2880"/>
          </w:tcPr>
          <w:p>
            <w:r>
              <w:t>Zonder tuin</w:t>
            </w:r>
          </w:p>
        </w:tc>
        <w:tc>
          <w:tcPr>
            <w:tcW w:type="dxa" w:w="2880"/>
          </w:tcPr>
          <w:p>
            <w:r>
              <w:t>7.147</w:t>
            </w:r>
          </w:p>
        </w:tc>
        <w:tc>
          <w:tcPr>
            <w:tcW w:type="dxa" w:w="2880"/>
          </w:tcPr>
          <w:p>
            <w:r>
              <w:rPr>
                <w:b/>
              </w:rPr>
              <w:t>118</w:t>
            </w:r>
          </w:p>
        </w:tc>
      </w:tr>
    </w:tbl>
    <w:p/>
    <w:p>
      <w:pPr>
        <w:ind w:left="240"/>
      </w:pPr>
      <w:r>
        <w:t>→ Ruim een maand verschil. 86% van de verkochte huizen had een tuin.</w:t>
      </w:r>
    </w:p>
    <w:p>
      <w:pPr>
        <w:pStyle w:val="Heading3"/>
      </w:pPr>
      <w:r>
        <w:t>Tabel 2 — Verschil per seizoen (typisch aantal dagen te koop)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Seizoen</w:t>
            </w:r>
          </w:p>
        </w:tc>
        <w:tc>
          <w:tcPr>
            <w:tcW w:type="dxa" w:w="2160"/>
          </w:tcPr>
          <w:p>
            <w:r>
              <w:rPr>
                <w:b/>
              </w:rPr>
              <w:t>Met tuin</w:t>
            </w:r>
          </w:p>
        </w:tc>
        <w:tc>
          <w:tcPr>
            <w:tcW w:type="dxa" w:w="2160"/>
          </w:tcPr>
          <w:p>
            <w:r>
              <w:rPr>
                <w:b/>
              </w:rPr>
              <w:t>Zonder tuin</w:t>
            </w:r>
          </w:p>
        </w:tc>
        <w:tc>
          <w:tcPr>
            <w:tcW w:type="dxa" w:w="2160"/>
          </w:tcPr>
          <w:p>
            <w:r>
              <w:rPr>
                <w:b/>
              </w:rPr>
              <w:t>Verschil</w:t>
            </w:r>
          </w:p>
        </w:tc>
      </w:tr>
      <w:tr>
        <w:tc>
          <w:tcPr>
            <w:tcW w:type="dxa" w:w="2160"/>
          </w:tcPr>
          <w:p>
            <w:r>
              <w:t>Lente</w:t>
            </w:r>
          </w:p>
        </w:tc>
        <w:tc>
          <w:tcPr>
            <w:tcW w:type="dxa" w:w="2160"/>
          </w:tcPr>
          <w:p>
            <w:r>
              <w:t>79</w:t>
            </w:r>
          </w:p>
        </w:tc>
        <w:tc>
          <w:tcPr>
            <w:tcW w:type="dxa" w:w="2160"/>
          </w:tcPr>
          <w:p>
            <w:r>
              <w:t>121</w:t>
            </w:r>
          </w:p>
        </w:tc>
        <w:tc>
          <w:tcPr>
            <w:tcW w:type="dxa" w:w="2160"/>
          </w:tcPr>
          <w:p>
            <w:r>
              <w:rPr>
                <w:b/>
              </w:rPr>
              <w:t>42</w:t>
            </w:r>
          </w:p>
        </w:tc>
      </w:tr>
      <w:tr>
        <w:tc>
          <w:tcPr>
            <w:tcW w:type="dxa" w:w="2160"/>
          </w:tcPr>
          <w:p>
            <w:r>
              <w:t>Zomer</w:t>
            </w:r>
          </w:p>
        </w:tc>
        <w:tc>
          <w:tcPr>
            <w:tcW w:type="dxa" w:w="2160"/>
          </w:tcPr>
          <w:p>
            <w:r>
              <w:t>85</w:t>
            </w:r>
          </w:p>
        </w:tc>
        <w:tc>
          <w:tcPr>
            <w:tcW w:type="dxa" w:w="2160"/>
          </w:tcPr>
          <w:p>
            <w:r>
              <w:t>126</w:t>
            </w:r>
          </w:p>
        </w:tc>
        <w:tc>
          <w:tcPr>
            <w:tcW w:type="dxa" w:w="2160"/>
          </w:tcPr>
          <w:p>
            <w:r>
              <w:t>41</w:t>
            </w:r>
          </w:p>
        </w:tc>
      </w:tr>
      <w:tr>
        <w:tc>
          <w:tcPr>
            <w:tcW w:type="dxa" w:w="2160"/>
          </w:tcPr>
          <w:p>
            <w:r>
              <w:t>Herfst</w:t>
            </w:r>
          </w:p>
        </w:tc>
        <w:tc>
          <w:tcPr>
            <w:tcW w:type="dxa" w:w="2160"/>
          </w:tcPr>
          <w:p>
            <w:r>
              <w:t>82</w:t>
            </w:r>
          </w:p>
        </w:tc>
        <w:tc>
          <w:tcPr>
            <w:tcW w:type="dxa" w:w="2160"/>
          </w:tcPr>
          <w:p>
            <w:r>
              <w:t>110</w:t>
            </w:r>
          </w:p>
        </w:tc>
        <w:tc>
          <w:tcPr>
            <w:tcW w:type="dxa" w:w="2160"/>
          </w:tcPr>
          <w:p>
            <w:r>
              <w:t>28</w:t>
            </w:r>
          </w:p>
        </w:tc>
      </w:tr>
      <w:tr>
        <w:tc>
          <w:tcPr>
            <w:tcW w:type="dxa" w:w="2160"/>
          </w:tcPr>
          <w:p>
            <w:r>
              <w:t>Winter</w:t>
            </w:r>
          </w:p>
        </w:tc>
        <w:tc>
          <w:tcPr>
            <w:tcW w:type="dxa" w:w="2160"/>
          </w:tcPr>
          <w:p>
            <w:r>
              <w:t>86</w:t>
            </w:r>
          </w:p>
        </w:tc>
        <w:tc>
          <w:tcPr>
            <w:tcW w:type="dxa" w:w="2160"/>
          </w:tcPr>
          <w:p>
            <w:r>
              <w:t>117</w:t>
            </w:r>
          </w:p>
        </w:tc>
        <w:tc>
          <w:tcPr>
            <w:tcW w:type="dxa" w:w="2160"/>
          </w:tcPr>
          <w:p>
            <w:r>
              <w:t>31</w:t>
            </w:r>
          </w:p>
        </w:tc>
      </w:tr>
    </w:tbl>
    <w:p/>
    <w:p>
      <w:pPr>
        <w:ind w:left="240"/>
      </w:pPr>
      <w:r>
        <w:t>→ Het tuinvoordeel is het grootst in lente en zomer.</w:t>
      </w:r>
    </w:p>
    <w:p>
      <w:pPr>
        <w:pStyle w:val="Heading3"/>
      </w:pPr>
      <w:r>
        <w:t>Tabel 3 — Controle per woningtype (typisch aantal dagen te koop)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Woningtype</w:t>
            </w:r>
          </w:p>
        </w:tc>
        <w:tc>
          <w:tcPr>
            <w:tcW w:type="dxa" w:w="2160"/>
          </w:tcPr>
          <w:p>
            <w:r>
              <w:rPr>
                <w:b/>
              </w:rPr>
              <w:t>Met tuin</w:t>
            </w:r>
          </w:p>
        </w:tc>
        <w:tc>
          <w:tcPr>
            <w:tcW w:type="dxa" w:w="2160"/>
          </w:tcPr>
          <w:p>
            <w:r>
              <w:rPr>
                <w:b/>
              </w:rPr>
              <w:t>Zonder tuin</w:t>
            </w:r>
          </w:p>
        </w:tc>
        <w:tc>
          <w:tcPr>
            <w:tcW w:type="dxa" w:w="2160"/>
          </w:tcPr>
          <w:p>
            <w:r>
              <w:rPr>
                <w:b/>
              </w:rPr>
              <w:t>Verschil</w:t>
            </w:r>
          </w:p>
        </w:tc>
      </w:tr>
      <w:tr>
        <w:tc>
          <w:tcPr>
            <w:tcW w:type="dxa" w:w="2160"/>
          </w:tcPr>
          <w:p>
            <w:r>
              <w:t>Gesloten (rijwoning)</w:t>
            </w:r>
          </w:p>
        </w:tc>
        <w:tc>
          <w:tcPr>
            <w:tcW w:type="dxa" w:w="2160"/>
          </w:tcPr>
          <w:p>
            <w:r>
              <w:t>87</w:t>
            </w:r>
          </w:p>
        </w:tc>
        <w:tc>
          <w:tcPr>
            <w:tcW w:type="dxa" w:w="2160"/>
          </w:tcPr>
          <w:p>
            <w:r>
              <w:t>111</w:t>
            </w:r>
          </w:p>
        </w:tc>
        <w:tc>
          <w:tcPr>
            <w:tcW w:type="dxa" w:w="2160"/>
          </w:tcPr>
          <w:p>
            <w:r>
              <w:t>24</w:t>
            </w:r>
          </w:p>
        </w:tc>
      </w:tr>
      <w:tr>
        <w:tc>
          <w:tcPr>
            <w:tcW w:type="dxa" w:w="2160"/>
          </w:tcPr>
          <w:p>
            <w:r>
              <w:t>Halfopen</w:t>
            </w:r>
          </w:p>
        </w:tc>
        <w:tc>
          <w:tcPr>
            <w:tcW w:type="dxa" w:w="2160"/>
          </w:tcPr>
          <w:p>
            <w:r>
              <w:t>87</w:t>
            </w:r>
          </w:p>
        </w:tc>
        <w:tc>
          <w:tcPr>
            <w:tcW w:type="dxa" w:w="2160"/>
          </w:tcPr>
          <w:p>
            <w:r>
              <w:t>127</w:t>
            </w:r>
          </w:p>
        </w:tc>
        <w:tc>
          <w:tcPr>
            <w:tcW w:type="dxa" w:w="2160"/>
          </w:tcPr>
          <w:p>
            <w:r>
              <w:rPr>
                <w:b/>
              </w:rPr>
              <w:t>40</w:t>
            </w:r>
          </w:p>
        </w:tc>
      </w:tr>
      <w:tr>
        <w:tc>
          <w:tcPr>
            <w:tcW w:type="dxa" w:w="2160"/>
          </w:tcPr>
          <w:p>
            <w:r>
              <w:t>Open (vrijstaand)</w:t>
            </w:r>
          </w:p>
        </w:tc>
        <w:tc>
          <w:tcPr>
            <w:tcW w:type="dxa" w:w="2160"/>
          </w:tcPr>
          <w:p>
            <w:r>
              <w:t>96</w:t>
            </w:r>
          </w:p>
        </w:tc>
        <w:tc>
          <w:tcPr>
            <w:tcW w:type="dxa" w:w="2160"/>
          </w:tcPr>
          <w:p>
            <w:r>
              <w:t>120</w:t>
            </w:r>
          </w:p>
        </w:tc>
        <w:tc>
          <w:tcPr>
            <w:tcW w:type="dxa" w:w="2160"/>
          </w:tcPr>
          <w:p>
            <w:r>
              <w:t>24</w:t>
            </w:r>
          </w:p>
        </w:tc>
      </w:tr>
    </w:tbl>
    <w:p/>
    <w:p>
      <w:pPr>
        <w:ind w:left="240"/>
      </w:pPr>
      <w:r>
        <w:t>→ Het tuinvoordeel blijft overeind binnen elk woningtype.</w:t>
      </w:r>
    </w:p>
    <w:p>
      <w:pPr>
        <w:pStyle w:val="Heading3"/>
      </w:pPr>
      <w:r>
        <w:t>Tabel 4 — Stadswoningen: buitenruimte telt (rijwoningen in centrumsteden, lente)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Buitenruimte</w:t>
            </w:r>
          </w:p>
        </w:tc>
        <w:tc>
          <w:tcPr>
            <w:tcW w:type="dxa" w:w="4320"/>
          </w:tcPr>
          <w:p>
            <w:r>
              <w:rPr>
                <w:b/>
              </w:rPr>
              <w:t>Typisch aantal dagen te koop</w:t>
            </w:r>
          </w:p>
        </w:tc>
      </w:tr>
      <w:tr>
        <w:tc>
          <w:tcPr>
            <w:tcW w:type="dxa" w:w="4320"/>
          </w:tcPr>
          <w:p>
            <w:r>
              <w:t>Tuin</w:t>
            </w:r>
          </w:p>
        </w:tc>
        <w:tc>
          <w:tcPr>
            <w:tcW w:type="dxa" w:w="4320"/>
          </w:tcPr>
          <w:p>
            <w:r>
              <w:t>81</w:t>
            </w:r>
          </w:p>
        </w:tc>
      </w:tr>
      <w:tr>
        <w:tc>
          <w:tcPr>
            <w:tcW w:type="dxa" w:w="4320"/>
          </w:tcPr>
          <w:p>
            <w:r>
              <w:t>Enkel terras</w:t>
            </w:r>
          </w:p>
        </w:tc>
        <w:tc>
          <w:tcPr>
            <w:tcW w:type="dxa" w:w="4320"/>
          </w:tcPr>
          <w:p>
            <w:r>
              <w:t>88</w:t>
            </w:r>
          </w:p>
        </w:tc>
      </w:tr>
      <w:tr>
        <w:tc>
          <w:tcPr>
            <w:tcW w:type="dxa" w:w="4320"/>
          </w:tcPr>
          <w:p>
            <w:r>
              <w:t>Geen</w:t>
            </w:r>
          </w:p>
        </w:tc>
        <w:tc>
          <w:tcPr>
            <w:tcW w:type="dxa" w:w="4320"/>
          </w:tcPr>
          <w:p>
            <w:r>
              <w:rPr>
                <w:b/>
              </w:rPr>
              <w:t>122</w:t>
            </w:r>
          </w:p>
        </w:tc>
      </w:tr>
    </w:tbl>
    <w:p/>
    <w:p>
      <w:pPr>
        <w:ind w:left="240"/>
      </w:pPr>
      <w:r>
        <w:t>→ Geen buitenruimte = zes weken langer te koop dan met tuin.</w:t>
      </w:r>
    </w:p>
    <w:p>
      <w:pPr>
        <w:pStyle w:val="Heading3"/>
      </w:pPr>
      <w:r>
        <w:t>Tabel 5 — Het verschil krimpt (lente, % verkocht binnen 90 dagen)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Jaar</w:t>
            </w:r>
          </w:p>
        </w:tc>
        <w:tc>
          <w:tcPr>
            <w:tcW w:type="dxa" w:w="2160"/>
          </w:tcPr>
          <w:p>
            <w:r>
              <w:rPr>
                <w:b/>
              </w:rPr>
              <w:t>Met tuin</w:t>
            </w:r>
          </w:p>
        </w:tc>
        <w:tc>
          <w:tcPr>
            <w:tcW w:type="dxa" w:w="2160"/>
          </w:tcPr>
          <w:p>
            <w:r>
              <w:rPr>
                <w:b/>
              </w:rPr>
              <w:t>Zonder tuin</w:t>
            </w:r>
          </w:p>
        </w:tc>
        <w:tc>
          <w:tcPr>
            <w:tcW w:type="dxa" w:w="2160"/>
          </w:tcPr>
          <w:p>
            <w:r>
              <w:rPr>
                <w:b/>
              </w:rPr>
              <w:t>Kloof (procentpunten)</w:t>
            </w:r>
          </w:p>
        </w:tc>
      </w:tr>
      <w:tr>
        <w:tc>
          <w:tcPr>
            <w:tcW w:type="dxa" w:w="2160"/>
          </w:tcPr>
          <w:p>
            <w:r>
              <w:t>2023</w:t>
            </w:r>
          </w:p>
        </w:tc>
        <w:tc>
          <w:tcPr>
            <w:tcW w:type="dxa" w:w="2160"/>
          </w:tcPr>
          <w:p>
            <w:r>
              <w:t>46,7%</w:t>
            </w:r>
          </w:p>
        </w:tc>
        <w:tc>
          <w:tcPr>
            <w:tcW w:type="dxa" w:w="2160"/>
          </w:tcPr>
          <w:p>
            <w:r>
              <w:t>32,7%</w:t>
            </w:r>
          </w:p>
        </w:tc>
        <w:tc>
          <w:tcPr>
            <w:tcW w:type="dxa" w:w="2160"/>
          </w:tcPr>
          <w:p>
            <w:r>
              <w:t>14,0</w:t>
            </w:r>
          </w:p>
        </w:tc>
      </w:tr>
      <w:tr>
        <w:tc>
          <w:tcPr>
            <w:tcW w:type="dxa" w:w="2160"/>
          </w:tcPr>
          <w:p>
            <w:r>
              <w:t>2024</w:t>
            </w:r>
          </w:p>
        </w:tc>
        <w:tc>
          <w:tcPr>
            <w:tcW w:type="dxa" w:w="2160"/>
          </w:tcPr>
          <w:p>
            <w:r>
              <w:t>52,1%</w:t>
            </w:r>
          </w:p>
        </w:tc>
        <w:tc>
          <w:tcPr>
            <w:tcW w:type="dxa" w:w="2160"/>
          </w:tcPr>
          <w:p>
            <w:r>
              <w:t>38,0%</w:t>
            </w:r>
          </w:p>
        </w:tc>
        <w:tc>
          <w:tcPr>
            <w:tcW w:type="dxa" w:w="2160"/>
          </w:tcPr>
          <w:p>
            <w:r>
              <w:t>14,1</w:t>
            </w:r>
          </w:p>
        </w:tc>
      </w:tr>
      <w:tr>
        <w:tc>
          <w:tcPr>
            <w:tcW w:type="dxa" w:w="2160"/>
          </w:tcPr>
          <w:p>
            <w:r>
              <w:t>2025</w:t>
            </w:r>
          </w:p>
        </w:tc>
        <w:tc>
          <w:tcPr>
            <w:tcW w:type="dxa" w:w="2160"/>
          </w:tcPr>
          <w:p>
            <w:r>
              <w:t>59,6%</w:t>
            </w:r>
          </w:p>
        </w:tc>
        <w:tc>
          <w:tcPr>
            <w:tcW w:type="dxa" w:w="2160"/>
          </w:tcPr>
          <w:p>
            <w:r>
              <w:t>51,7%</w:t>
            </w:r>
          </w:p>
        </w:tc>
        <w:tc>
          <w:tcPr>
            <w:tcW w:type="dxa" w:w="2160"/>
          </w:tcPr>
          <w:p>
            <w:r>
              <w:rPr>
                <w:b/>
              </w:rPr>
              <w:t>7,9</w:t>
            </w:r>
          </w:p>
        </w:tc>
      </w:tr>
    </w:tbl>
    <w:p/>
    <w:p>
      <w:pPr>
        <w:ind w:left="240"/>
      </w:pPr>
      <w:r>
        <w:t>→ Woningen verkopen sneller dan in 2023; het tuinvoordeel wordt kleiner.</w:t>
      </w:r>
    </w:p>
    <w:p>
      <w:pPr>
        <w:pStyle w:val="Heading3"/>
      </w:pPr>
      <w:r>
        <w:t>Tabel 6 — Tuinvoordeel per provincie (typisch aantal dagen te koop)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Provincie</w:t>
            </w:r>
          </w:p>
        </w:tc>
        <w:tc>
          <w:tcPr>
            <w:tcW w:type="dxa" w:w="2160"/>
          </w:tcPr>
          <w:p>
            <w:r>
              <w:rPr>
                <w:b/>
              </w:rPr>
              <w:t>Met tuin</w:t>
            </w:r>
          </w:p>
        </w:tc>
        <w:tc>
          <w:tcPr>
            <w:tcW w:type="dxa" w:w="2160"/>
          </w:tcPr>
          <w:p>
            <w:r>
              <w:rPr>
                <w:b/>
              </w:rPr>
              <w:t>Zonder tuin</w:t>
            </w:r>
          </w:p>
        </w:tc>
        <w:tc>
          <w:tcPr>
            <w:tcW w:type="dxa" w:w="2160"/>
          </w:tcPr>
          <w:p>
            <w:r>
              <w:rPr>
                <w:b/>
              </w:rPr>
              <w:t>Verschil</w:t>
            </w:r>
          </w:p>
        </w:tc>
      </w:tr>
      <w:tr>
        <w:tc>
          <w:tcPr>
            <w:tcW w:type="dxa" w:w="2160"/>
          </w:tcPr>
          <w:p>
            <w:r>
              <w:t>West-Vlaanderen</w:t>
            </w:r>
          </w:p>
        </w:tc>
        <w:tc>
          <w:tcPr>
            <w:tcW w:type="dxa" w:w="2160"/>
          </w:tcPr>
          <w:p>
            <w:r>
              <w:t>87</w:t>
            </w:r>
          </w:p>
        </w:tc>
        <w:tc>
          <w:tcPr>
            <w:tcW w:type="dxa" w:w="2160"/>
          </w:tcPr>
          <w:p>
            <w:r>
              <w:t>134</w:t>
            </w:r>
          </w:p>
        </w:tc>
        <w:tc>
          <w:tcPr>
            <w:tcW w:type="dxa" w:w="2160"/>
          </w:tcPr>
          <w:p>
            <w:r>
              <w:rPr>
                <w:b/>
              </w:rPr>
              <w:t>47</w:t>
            </w:r>
          </w:p>
        </w:tc>
      </w:tr>
      <w:tr>
        <w:tc>
          <w:tcPr>
            <w:tcW w:type="dxa" w:w="2160"/>
          </w:tcPr>
          <w:p>
            <w:r>
              <w:t>Limburg</w:t>
            </w:r>
          </w:p>
        </w:tc>
        <w:tc>
          <w:tcPr>
            <w:tcW w:type="dxa" w:w="2160"/>
          </w:tcPr>
          <w:p>
            <w:r>
              <w:t>86</w:t>
            </w:r>
          </w:p>
        </w:tc>
        <w:tc>
          <w:tcPr>
            <w:tcW w:type="dxa" w:w="2160"/>
          </w:tcPr>
          <w:p>
            <w:r>
              <w:t>126</w:t>
            </w:r>
          </w:p>
        </w:tc>
        <w:tc>
          <w:tcPr>
            <w:tcW w:type="dxa" w:w="2160"/>
          </w:tcPr>
          <w:p>
            <w:r>
              <w:t>40</w:t>
            </w:r>
          </w:p>
        </w:tc>
      </w:tr>
      <w:tr>
        <w:tc>
          <w:tcPr>
            <w:tcW w:type="dxa" w:w="2160"/>
          </w:tcPr>
          <w:p>
            <w:r>
              <w:t>Oost-Vlaanderen</w:t>
            </w:r>
          </w:p>
        </w:tc>
        <w:tc>
          <w:tcPr>
            <w:tcW w:type="dxa" w:w="2160"/>
          </w:tcPr>
          <w:p>
            <w:r>
              <w:t>71</w:t>
            </w:r>
          </w:p>
        </w:tc>
        <w:tc>
          <w:tcPr>
            <w:tcW w:type="dxa" w:w="2160"/>
          </w:tcPr>
          <w:p>
            <w:r>
              <w:t>108</w:t>
            </w:r>
          </w:p>
        </w:tc>
        <w:tc>
          <w:tcPr>
            <w:tcW w:type="dxa" w:w="2160"/>
          </w:tcPr>
          <w:p>
            <w:r>
              <w:t>37</w:t>
            </w:r>
          </w:p>
        </w:tc>
      </w:tr>
      <w:tr>
        <w:tc>
          <w:tcPr>
            <w:tcW w:type="dxa" w:w="2160"/>
          </w:tcPr>
          <w:p>
            <w:r>
              <w:t>Antwerpen</w:t>
            </w:r>
          </w:p>
        </w:tc>
        <w:tc>
          <w:tcPr>
            <w:tcW w:type="dxa" w:w="2160"/>
          </w:tcPr>
          <w:p>
            <w:r>
              <w:t>82</w:t>
            </w:r>
          </w:p>
        </w:tc>
        <w:tc>
          <w:tcPr>
            <w:tcW w:type="dxa" w:w="2160"/>
          </w:tcPr>
          <w:p>
            <w:r>
              <w:t>113</w:t>
            </w:r>
          </w:p>
        </w:tc>
        <w:tc>
          <w:tcPr>
            <w:tcW w:type="dxa" w:w="2160"/>
          </w:tcPr>
          <w:p>
            <w:r>
              <w:t>31</w:t>
            </w:r>
          </w:p>
        </w:tc>
      </w:tr>
      <w:tr>
        <w:tc>
          <w:tcPr>
            <w:tcW w:type="dxa" w:w="2160"/>
          </w:tcPr>
          <w:p>
            <w:r>
              <w:t>Vlaams-Brabant</w:t>
            </w:r>
          </w:p>
        </w:tc>
        <w:tc>
          <w:tcPr>
            <w:tcW w:type="dxa" w:w="2160"/>
          </w:tcPr>
          <w:p>
            <w:r>
              <w:t>95</w:t>
            </w:r>
          </w:p>
        </w:tc>
        <w:tc>
          <w:tcPr>
            <w:tcW w:type="dxa" w:w="2160"/>
          </w:tcPr>
          <w:p>
            <w:r>
              <w:t>123</w:t>
            </w:r>
          </w:p>
        </w:tc>
        <w:tc>
          <w:tcPr>
            <w:tcW w:type="dxa" w:w="2160"/>
          </w:tcPr>
          <w:p>
            <w:r>
              <w:t>28</w:t>
            </w:r>
          </w:p>
        </w:tc>
      </w:tr>
    </w:tbl>
    <w:p/>
    <w:p>
      <w:pPr>
        <w:ind w:left="240"/>
      </w:pPr>
      <w:r>
        <w:t>→ Het tuinvoordeel speelt in elke provincie (vier tot zeven weken). In Oost-Vlaanderen verkopen woningen met tuin het snelst (71 dagen).</w:t>
      </w:r>
    </w:p>
    <w:p>
      <w:pPr>
        <w:pStyle w:val="Heading3"/>
      </w:pPr>
      <w:r>
        <w:t>Tabel 7 — Tuinvoordeel per centrumstad (typisch aantal dagen te koop)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Centrumstad</w:t>
            </w:r>
          </w:p>
        </w:tc>
        <w:tc>
          <w:tcPr>
            <w:tcW w:type="dxa" w:w="2160"/>
          </w:tcPr>
          <w:p>
            <w:r>
              <w:rPr>
                <w:b/>
              </w:rPr>
              <w:t>Met tuin</w:t>
            </w:r>
          </w:p>
        </w:tc>
        <w:tc>
          <w:tcPr>
            <w:tcW w:type="dxa" w:w="2160"/>
          </w:tcPr>
          <w:p>
            <w:r>
              <w:rPr>
                <w:b/>
              </w:rPr>
              <w:t>Zonder tuin</w:t>
            </w:r>
          </w:p>
        </w:tc>
        <w:tc>
          <w:tcPr>
            <w:tcW w:type="dxa" w:w="2160"/>
          </w:tcPr>
          <w:p>
            <w:r>
              <w:rPr>
                <w:b/>
              </w:rPr>
              <w:t>Verschil</w:t>
            </w:r>
          </w:p>
        </w:tc>
      </w:tr>
      <w:tr>
        <w:tc>
          <w:tcPr>
            <w:tcW w:type="dxa" w:w="2160"/>
          </w:tcPr>
          <w:p>
            <w:r>
              <w:t>Antwerpen</w:t>
            </w:r>
          </w:p>
        </w:tc>
        <w:tc>
          <w:tcPr>
            <w:tcW w:type="dxa" w:w="2160"/>
          </w:tcPr>
          <w:p>
            <w:r>
              <w:t>67</w:t>
            </w:r>
          </w:p>
        </w:tc>
        <w:tc>
          <w:tcPr>
            <w:tcW w:type="dxa" w:w="2160"/>
          </w:tcPr>
          <w:p>
            <w:r>
              <w:t>117</w:t>
            </w:r>
          </w:p>
        </w:tc>
        <w:tc>
          <w:tcPr>
            <w:tcW w:type="dxa" w:w="2160"/>
          </w:tcPr>
          <w:p>
            <w:r>
              <w:rPr>
                <w:b/>
              </w:rPr>
              <w:t>50</w:t>
            </w:r>
          </w:p>
        </w:tc>
      </w:tr>
      <w:tr>
        <w:tc>
          <w:tcPr>
            <w:tcW w:type="dxa" w:w="2160"/>
          </w:tcPr>
          <w:p>
            <w:r>
              <w:t>Mechelen</w:t>
            </w:r>
          </w:p>
        </w:tc>
        <w:tc>
          <w:tcPr>
            <w:tcW w:type="dxa" w:w="2160"/>
          </w:tcPr>
          <w:p>
            <w:r>
              <w:t>51</w:t>
            </w:r>
          </w:p>
        </w:tc>
        <w:tc>
          <w:tcPr>
            <w:tcW w:type="dxa" w:w="2160"/>
          </w:tcPr>
          <w:p>
            <w:r>
              <w:t>100</w:t>
            </w:r>
          </w:p>
        </w:tc>
        <w:tc>
          <w:tcPr>
            <w:tcW w:type="dxa" w:w="2160"/>
          </w:tcPr>
          <w:p>
            <w:r>
              <w:t>49</w:t>
            </w:r>
          </w:p>
        </w:tc>
      </w:tr>
      <w:tr>
        <w:tc>
          <w:tcPr>
            <w:tcW w:type="dxa" w:w="2160"/>
          </w:tcPr>
          <w:p>
            <w:r>
              <w:t>Kortrijk</w:t>
            </w:r>
          </w:p>
        </w:tc>
        <w:tc>
          <w:tcPr>
            <w:tcW w:type="dxa" w:w="2160"/>
          </w:tcPr>
          <w:p>
            <w:r>
              <w:t>64</w:t>
            </w:r>
          </w:p>
        </w:tc>
        <w:tc>
          <w:tcPr>
            <w:tcW w:type="dxa" w:w="2160"/>
          </w:tcPr>
          <w:p>
            <w:r>
              <w:t>110</w:t>
            </w:r>
          </w:p>
        </w:tc>
        <w:tc>
          <w:tcPr>
            <w:tcW w:type="dxa" w:w="2160"/>
          </w:tcPr>
          <w:p>
            <w:r>
              <w:t>46</w:t>
            </w:r>
          </w:p>
        </w:tc>
      </w:tr>
      <w:tr>
        <w:tc>
          <w:tcPr>
            <w:tcW w:type="dxa" w:w="2160"/>
          </w:tcPr>
          <w:p>
            <w:r>
              <w:t>Aalst</w:t>
            </w:r>
          </w:p>
        </w:tc>
        <w:tc>
          <w:tcPr>
            <w:tcW w:type="dxa" w:w="2160"/>
          </w:tcPr>
          <w:p>
            <w:r>
              <w:t>89</w:t>
            </w:r>
          </w:p>
        </w:tc>
        <w:tc>
          <w:tcPr>
            <w:tcW w:type="dxa" w:w="2160"/>
          </w:tcPr>
          <w:p>
            <w:r>
              <w:t>122</w:t>
            </w:r>
          </w:p>
        </w:tc>
        <w:tc>
          <w:tcPr>
            <w:tcW w:type="dxa" w:w="2160"/>
          </w:tcPr>
          <w:p>
            <w:r>
              <w:t>33</w:t>
            </w:r>
          </w:p>
        </w:tc>
      </w:tr>
      <w:tr>
        <w:tc>
          <w:tcPr>
            <w:tcW w:type="dxa" w:w="2160"/>
          </w:tcPr>
          <w:p>
            <w:r>
              <w:t>Gent</w:t>
            </w:r>
          </w:p>
        </w:tc>
        <w:tc>
          <w:tcPr>
            <w:tcW w:type="dxa" w:w="2160"/>
          </w:tcPr>
          <w:p>
            <w:r>
              <w:t>48</w:t>
            </w:r>
          </w:p>
        </w:tc>
        <w:tc>
          <w:tcPr>
            <w:tcW w:type="dxa" w:w="2160"/>
          </w:tcPr>
          <w:p>
            <w:r>
              <w:t>79</w:t>
            </w:r>
          </w:p>
        </w:tc>
        <w:tc>
          <w:tcPr>
            <w:tcW w:type="dxa" w:w="2160"/>
          </w:tcPr>
          <w:p>
            <w:r>
              <w:t>31</w:t>
            </w:r>
          </w:p>
        </w:tc>
      </w:tr>
      <w:tr>
        <w:tc>
          <w:tcPr>
            <w:tcW w:type="dxa" w:w="2160"/>
          </w:tcPr>
          <w:p>
            <w:r>
              <w:t>Brugge</w:t>
            </w:r>
          </w:p>
        </w:tc>
        <w:tc>
          <w:tcPr>
            <w:tcW w:type="dxa" w:w="2160"/>
          </w:tcPr>
          <w:p>
            <w:r>
              <w:t>74</w:t>
            </w:r>
          </w:p>
        </w:tc>
        <w:tc>
          <w:tcPr>
            <w:tcW w:type="dxa" w:w="2160"/>
          </w:tcPr>
          <w:p>
            <w:r>
              <w:t>92</w:t>
            </w:r>
          </w:p>
        </w:tc>
        <w:tc>
          <w:tcPr>
            <w:tcW w:type="dxa" w:w="2160"/>
          </w:tcPr>
          <w:p>
            <w:r>
              <w:t>18</w:t>
            </w:r>
          </w:p>
        </w:tc>
      </w:tr>
    </w:tbl>
    <w:p/>
    <w:p>
      <w:pPr>
        <w:ind w:left="240"/>
      </w:pPr>
      <w:r>
        <w:t>→ In Antwerpen en Mechelen weegt de tuin het zwaarst (zo'n zeven weken); in andere centrumsteden is het effect kleiner.</w:t>
      </w:r>
    </w:p>
    <w:p>
      <w:r>
        <w:rPr>
          <w:i/>
          <w:sz w:val="18"/>
        </w:rPr>
        <w:t>Enkel centrumsteden met voldoende vergelijkingsbasis (minstens 100 woningen zonder tuin) zijn opgenomen. Genk, Hasselt, Leuven, Oostende, Roeselare, Sint-Niklaas en Turnhout zijn weggelaten: daar steunen de cijfers op te weinig woningen zonder tuin om betrouwbaar te zijn.</w:t>
      </w:r>
    </w:p>
    <w:p>
      <w:r>
        <w:rPr>
          <w:i/>
          <w:sz w:val="18"/>
        </w:rPr>
        <w:t>Let op: tabel 5 vertrekt van álle gestarte verkopen (ook nog lopende), terwijl de overige tabellen enkel afgeronde verkopen tellen. De aantallen zijn daardoor niet zomaar onderling optelbaar.</w:t>
      </w:r>
    </w:p>
    <w:p>
      <w:pPr>
        <w:pStyle w:val="Heading2"/>
      </w:pPr>
      <w:r>
        <w:t>Over de analyse (methodologie)</w:t>
      </w:r>
    </w:p>
    <w:p>
      <w:pPr>
        <w:pStyle w:val="ListBullet"/>
      </w:pPr>
      <w:r>
        <w:t>Gebaseerd op 51.862 afgeronde verkoopcycli van huizen in Vlaanderen die tussen begin 2023 en eind 2025 te koop stonden.</w:t>
      </w:r>
    </w:p>
    <w:p>
      <w:pPr>
        <w:pStyle w:val="ListBullet"/>
      </w:pPr>
      <w:r>
        <w:t>Enkel woningen die te koop werden aangeboden zijn opgenomen; huurpanden zijn uitgesloten.</w:t>
      </w:r>
    </w:p>
    <w:p>
      <w:pPr>
        <w:pStyle w:val="ListBullet"/>
      </w:pPr>
      <w:r>
        <w:t>"Verkooptijd" = aantal dagen dat een woning te koop stond.</w:t>
      </w:r>
    </w:p>
    <w:p>
      <w:pPr>
        <w:pStyle w:val="ListBullet"/>
      </w:pPr>
      <w:r>
        <w:t>"Typisch" verwijst naar de mediaan: de helft van de woningen verkocht sneller, de helft trager. Dat is minder gevoelig voor uitschieters dan een gemiddelde.</w:t>
      </w:r>
    </w:p>
    <w:p>
      <w:pPr>
        <w:pStyle w:val="ListBullet"/>
      </w:pPr>
      <w:r>
        <w:t>Een woning telt als "met tuin" wanneer de kenmerken een tuin vermelden of de beschrijving naar een tuin verwijst.</w:t>
      </w:r>
    </w:p>
    <w:p>
      <w:pPr>
        <w:pStyle w:val="ListBullet"/>
      </w:pPr>
      <w:r>
        <w:t xml:space="preserve">De vastgestelde verschillen zijn </w:t>
      </w:r>
      <w:r>
        <w:rPr>
          <w:b/>
        </w:rPr>
        <w:t>verbanden, geen bewijs van oorzakelijkheid</w:t>
      </w:r>
      <w:r>
        <w:t>.</w:t>
      </w:r>
    </w:p>
    <w:p>
      <w:pPr>
        <w:pStyle w:val="ListBullet"/>
      </w:pPr>
      <w:r>
        <w:t>Voor de jaartrend (tabel 5) wordt bewust een vaste-venstermethode gebruikt (% verkocht binnen 90 dagen) om vertekening door nog lopende verkopen te vermijden.</w:t>
      </w:r>
    </w:p>
    <w:p>
      <w:pPr>
        <w:pStyle w:val="ListBullet"/>
      </w:pPr>
      <w:r>
        <w:t>Het dataplatform startte in maart 2023; cijfers van dat eerste jaar zijn richtinggevend.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