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08C4" w14:textId="7F4AFE4C" w:rsidR="00EF640F" w:rsidRPr="00866718" w:rsidRDefault="00000000">
      <w:pPr>
        <w:pStyle w:val="Title"/>
        <w:rPr>
          <w:lang w:val="nl-BE"/>
        </w:rPr>
      </w:pPr>
      <w:r w:rsidRPr="00866718">
        <w:rPr>
          <w:color w:val="1F4E79"/>
          <w:lang w:val="nl-BE"/>
        </w:rPr>
        <w:t>Spotto weekrapport 2026</w:t>
      </w:r>
    </w:p>
    <w:p w14:paraId="5C1E155A" w14:textId="77777777" w:rsidR="00EF640F" w:rsidRPr="00866718" w:rsidRDefault="00000000">
      <w:pPr>
        <w:rPr>
          <w:lang w:val="nl-BE"/>
        </w:rPr>
      </w:pPr>
      <w:r w:rsidRPr="00866718">
        <w:rPr>
          <w:lang w:val="nl-BE"/>
        </w:rPr>
        <w:t>Periode: week 1 (29 dec 2025 – 4 jan 2026) t/m week 24 (onvolledig, t/m 12 juni).</w:t>
      </w:r>
    </w:p>
    <w:p w14:paraId="092608D9" w14:textId="77777777" w:rsidR="00EF640F" w:rsidRPr="00866718" w:rsidRDefault="00000000">
      <w:pPr>
        <w:rPr>
          <w:lang w:val="nl-BE"/>
        </w:rPr>
      </w:pPr>
      <w:r w:rsidRPr="00866718">
        <w:rPr>
          <w:lang w:val="nl-BE"/>
        </w:rPr>
        <w:t>Weken = ISO-weken, maandag t/m zondag. Pandtypes: huis / appartement / overig (overig = grond, garage, commercieel, kamers, onbekend). Koop/huur overal gesplitst.</w:t>
      </w:r>
    </w:p>
    <w:p w14:paraId="132E1692" w14:textId="77777777" w:rsidR="00EF640F" w:rsidRPr="00866718" w:rsidRDefault="00000000">
      <w:pPr>
        <w:pStyle w:val="Heading1"/>
        <w:rPr>
          <w:lang w:val="nl-BE"/>
        </w:rPr>
      </w:pPr>
      <w:r w:rsidRPr="00866718">
        <w:rPr>
          <w:color w:val="1F4E79"/>
          <w:lang w:val="nl-BE"/>
        </w:rPr>
        <w:t>Sectie 1 — Aanbod (publicaties)</w:t>
      </w:r>
    </w:p>
    <w:p w14:paraId="6A24992E" w14:textId="77777777" w:rsidR="00EF640F" w:rsidRPr="00866718" w:rsidRDefault="00000000">
      <w:pPr>
        <w:rPr>
          <w:lang w:val="nl-BE"/>
        </w:rPr>
      </w:pPr>
      <w:r w:rsidRPr="00866718">
        <w:rPr>
          <w:lang w:val="nl-BE"/>
        </w:rPr>
        <w:t>Telt publicaties (advertenties): een pand dat opnieuw gepubliceerd wordt of van kantoor wisselt, telt opnieuw mee.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6011"/>
      </w:tblGrid>
      <w:tr w:rsidR="00EF640F" w14:paraId="13AF1A3A" w14:textId="77777777">
        <w:tc>
          <w:tcPr>
            <w:tcW w:w="3118" w:type="dxa"/>
          </w:tcPr>
          <w:p w14:paraId="1915781E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Tabblad</w:t>
            </w:r>
          </w:p>
        </w:tc>
        <w:tc>
          <w:tcPr>
            <w:tcW w:w="6520" w:type="dxa"/>
          </w:tcPr>
          <w:p w14:paraId="67ADDAC8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Definitie</w:t>
            </w:r>
          </w:p>
        </w:tc>
      </w:tr>
      <w:tr w:rsidR="00EF640F" w:rsidRPr="00866718" w14:paraId="593B64E2" w14:textId="77777777">
        <w:tc>
          <w:tcPr>
            <w:tcW w:w="3118" w:type="dxa"/>
          </w:tcPr>
          <w:p w14:paraId="3F8DE84E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Nieuw gepubliceerd</w:t>
            </w:r>
          </w:p>
        </w:tc>
        <w:tc>
          <w:tcPr>
            <w:tcW w:w="6520" w:type="dxa"/>
          </w:tcPr>
          <w:p w14:paraId="4215CBE2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Publicaties die die week voor het eerst online kwamen</w:t>
            </w:r>
          </w:p>
        </w:tc>
      </w:tr>
      <w:tr w:rsidR="00EF640F" w:rsidRPr="00866718" w14:paraId="430E5571" w14:textId="77777777">
        <w:tc>
          <w:tcPr>
            <w:tcW w:w="3118" w:type="dxa"/>
          </w:tcPr>
          <w:p w14:paraId="569A0C64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Online aanbod</w:t>
            </w:r>
          </w:p>
        </w:tc>
        <w:tc>
          <w:tcPr>
            <w:tcW w:w="6520" w:type="dxa"/>
          </w:tcPr>
          <w:p w14:paraId="6EDA2D72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Stand op zondagavond + aantal kantoren met ≥1 pand online</w:t>
            </w:r>
          </w:p>
        </w:tc>
      </w:tr>
      <w:tr w:rsidR="00EF640F" w:rsidRPr="00866718" w14:paraId="1A37FA73" w14:textId="77777777">
        <w:tc>
          <w:tcPr>
            <w:tcW w:w="3118" w:type="dxa"/>
          </w:tcPr>
          <w:p w14:paraId="17F0A09A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Offline gehaald</w:t>
            </w:r>
          </w:p>
        </w:tc>
        <w:tc>
          <w:tcPr>
            <w:tcW w:w="6520" w:type="dxa"/>
          </w:tcPr>
          <w:p w14:paraId="054DF18A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Publicaties die die week offline gingen (verkocht/verhuurd/teruggetrokken — reden is niet gekend)</w:t>
            </w:r>
          </w:p>
        </w:tc>
      </w:tr>
      <w:tr w:rsidR="00EF640F" w14:paraId="0F5C44C3" w14:textId="77777777">
        <w:tc>
          <w:tcPr>
            <w:tcW w:w="3118" w:type="dxa"/>
          </w:tcPr>
          <w:p w14:paraId="708FD3E8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Vraagprijzen huis / appartement</w:t>
            </w:r>
          </w:p>
        </w:tc>
        <w:tc>
          <w:tcPr>
            <w:tcW w:w="6520" w:type="dxa"/>
          </w:tcPr>
          <w:p w14:paraId="58C16C15" w14:textId="77777777" w:rsidR="00EF640F" w:rsidRDefault="00000000">
            <w:pPr>
              <w:spacing w:before="40" w:after="40"/>
            </w:pPr>
            <w:r w:rsidRPr="00866718">
              <w:rPr>
                <w:sz w:val="19"/>
                <w:lang w:val="nl-BE"/>
              </w:rPr>
              <w:t xml:space="preserve">Mediaan en gemiddelde vraagprijs van nieuwe publicaties met prijs; N = aantal met prijs. </w:t>
            </w:r>
            <w:r>
              <w:rPr>
                <w:sz w:val="19"/>
              </w:rPr>
              <w:t>Gebruik de mediaan</w:t>
            </w:r>
          </w:p>
        </w:tc>
      </w:tr>
      <w:tr w:rsidR="00EF640F" w:rsidRPr="00866718" w14:paraId="6E4EFE16" w14:textId="77777777">
        <w:tc>
          <w:tcPr>
            <w:tcW w:w="3118" w:type="dxa"/>
          </w:tcPr>
          <w:p w14:paraId="61C6AC3A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EPC huis / appartement</w:t>
            </w:r>
          </w:p>
        </w:tc>
        <w:tc>
          <w:tcPr>
            <w:tcW w:w="6520" w:type="dxa"/>
          </w:tcPr>
          <w:p w14:paraId="1DCA208A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Labelverdeling nieuwe publicaties; gewesten samengevoegd per letter</w:t>
            </w:r>
          </w:p>
        </w:tc>
      </w:tr>
      <w:tr w:rsidR="00EF640F" w:rsidRPr="00866718" w14:paraId="3F8E49FD" w14:textId="77777777">
        <w:tc>
          <w:tcPr>
            <w:tcW w:w="3118" w:type="dxa"/>
          </w:tcPr>
          <w:p w14:paraId="6776756C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Nieuwbouw vs bestaand</w:t>
            </w:r>
          </w:p>
        </w:tc>
        <w:tc>
          <w:tcPr>
            <w:tcW w:w="6520" w:type="dxa"/>
          </w:tcPr>
          <w:p w14:paraId="46838B92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Projectpublicatie = 1 publicatie, kan meerdere units omvatten</w:t>
            </w:r>
          </w:p>
        </w:tc>
      </w:tr>
    </w:tbl>
    <w:p w14:paraId="50B9429B" w14:textId="77777777" w:rsidR="00EF640F" w:rsidRPr="00866718" w:rsidRDefault="00EF640F">
      <w:pPr>
        <w:rPr>
          <w:lang w:val="nl-BE"/>
        </w:rPr>
      </w:pPr>
    </w:p>
    <w:p w14:paraId="6E3D0A06" w14:textId="77777777" w:rsidR="00EF640F" w:rsidRPr="00866718" w:rsidRDefault="00000000">
      <w:pPr>
        <w:pStyle w:val="Heading1"/>
        <w:rPr>
          <w:lang w:val="nl-BE"/>
        </w:rPr>
      </w:pPr>
      <w:r w:rsidRPr="00866718">
        <w:rPr>
          <w:color w:val="1F4E79"/>
          <w:lang w:val="nl-BE"/>
        </w:rPr>
        <w:t>Sectie 2 — Objecten (unieke panden)</w:t>
      </w:r>
    </w:p>
    <w:p w14:paraId="36B68097" w14:textId="77777777" w:rsidR="00EF640F" w:rsidRPr="00866718" w:rsidRDefault="00000000">
      <w:pPr>
        <w:rPr>
          <w:lang w:val="nl-BE"/>
        </w:rPr>
      </w:pPr>
      <w:r w:rsidRPr="00866718">
        <w:rPr>
          <w:lang w:val="nl-BE"/>
        </w:rPr>
        <w:t>Telt unieke panden (adresniveau). Verschil met sectie 1 = herpublicaties/kantoorwissels.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5927"/>
      </w:tblGrid>
      <w:tr w:rsidR="00EF640F" w14:paraId="1A564A52" w14:textId="77777777">
        <w:tc>
          <w:tcPr>
            <w:tcW w:w="3118" w:type="dxa"/>
          </w:tcPr>
          <w:p w14:paraId="126FF6CD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Tabblad</w:t>
            </w:r>
          </w:p>
        </w:tc>
        <w:tc>
          <w:tcPr>
            <w:tcW w:w="6520" w:type="dxa"/>
          </w:tcPr>
          <w:p w14:paraId="6C5BD70F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Definitie</w:t>
            </w:r>
          </w:p>
        </w:tc>
      </w:tr>
      <w:tr w:rsidR="00EF640F" w:rsidRPr="00866718" w14:paraId="7B9E968C" w14:textId="77777777">
        <w:tc>
          <w:tcPr>
            <w:tcW w:w="3118" w:type="dxa"/>
          </w:tcPr>
          <w:p w14:paraId="7B6DE69B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Op de markt gekomen</w:t>
            </w:r>
          </w:p>
        </w:tc>
        <w:tc>
          <w:tcPr>
            <w:tcW w:w="6520" w:type="dxa"/>
          </w:tcPr>
          <w:p w14:paraId="4234B8B4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Unieke panden die een marktperiode startten; eerste keer vs herpublicatie</w:t>
            </w:r>
          </w:p>
        </w:tc>
      </w:tr>
      <w:tr w:rsidR="00EF640F" w:rsidRPr="00866718" w14:paraId="0D6CF389" w14:textId="77777777">
        <w:tc>
          <w:tcPr>
            <w:tcW w:w="3118" w:type="dxa"/>
          </w:tcPr>
          <w:p w14:paraId="0E026BCE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Doorlooptijd</w:t>
            </w:r>
          </w:p>
        </w:tc>
        <w:tc>
          <w:tcPr>
            <w:tcW w:w="6520" w:type="dxa"/>
          </w:tcPr>
          <w:p w14:paraId="0DEE6387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Mediaan aantal dagen op de markt van panden die die week van de markt gingen; gemengde koop/huur-periodes tellen als koop</w:t>
            </w:r>
          </w:p>
        </w:tc>
      </w:tr>
      <w:tr w:rsidR="00EF640F" w:rsidRPr="00866718" w14:paraId="7DFB351D" w14:textId="77777777">
        <w:tc>
          <w:tcPr>
            <w:tcW w:w="3118" w:type="dxa"/>
          </w:tcPr>
          <w:p w14:paraId="27C778CE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Prijsverlagingen</w:t>
            </w:r>
          </w:p>
        </w:tc>
        <w:tc>
          <w:tcPr>
            <w:tcW w:w="6520" w:type="dxa"/>
          </w:tcPr>
          <w:p w14:paraId="2A724CDB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Aantal en mediane daling (€ en %); enkel huis + appartement</w:t>
            </w:r>
          </w:p>
        </w:tc>
      </w:tr>
      <w:tr w:rsidR="00EF640F" w:rsidRPr="00866718" w14:paraId="18389EDD" w14:textId="77777777">
        <w:tc>
          <w:tcPr>
            <w:tcW w:w="3118" w:type="dxa"/>
          </w:tcPr>
          <w:p w14:paraId="29318549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Startprijs huis / appartement</w:t>
            </w:r>
          </w:p>
        </w:tc>
        <w:tc>
          <w:tcPr>
            <w:tcW w:w="6520" w:type="dxa"/>
          </w:tcPr>
          <w:p w14:paraId="6BD2FCC9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Mediaan start- vs huidige prijs per weekcohorte + % ooit verlaagd</w:t>
            </w:r>
          </w:p>
        </w:tc>
      </w:tr>
    </w:tbl>
    <w:p w14:paraId="4F3330DE" w14:textId="77777777" w:rsidR="00EF640F" w:rsidRPr="00866718" w:rsidRDefault="00EF640F">
      <w:pPr>
        <w:rPr>
          <w:lang w:val="nl-BE"/>
        </w:rPr>
      </w:pPr>
    </w:p>
    <w:p w14:paraId="79E69168" w14:textId="77777777" w:rsidR="00EF640F" w:rsidRPr="00866718" w:rsidRDefault="00000000">
      <w:pPr>
        <w:rPr>
          <w:lang w:val="nl-BE"/>
        </w:rPr>
      </w:pPr>
      <w:r w:rsidRPr="00866718">
        <w:rPr>
          <w:lang w:val="nl-BE"/>
        </w:rPr>
        <w:t>Nieuwbouwunits zonder busnummer tellen als één pand. Cijfers lopen ±2-3 dagen achter; week 24 is hier extra onvolledig.</w:t>
      </w:r>
    </w:p>
    <w:p w14:paraId="1D653E0A" w14:textId="77777777" w:rsidR="00EF640F" w:rsidRDefault="00000000">
      <w:pPr>
        <w:pStyle w:val="Heading1"/>
      </w:pPr>
      <w:r>
        <w:rPr>
          <w:color w:val="1F4E79"/>
        </w:rPr>
        <w:t>Sectie 3 — Bezoekers &amp; zoekers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5923"/>
      </w:tblGrid>
      <w:tr w:rsidR="00EF640F" w14:paraId="1FCA2708" w14:textId="77777777">
        <w:tc>
          <w:tcPr>
            <w:tcW w:w="3118" w:type="dxa"/>
          </w:tcPr>
          <w:p w14:paraId="5009D7D4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Tabblad</w:t>
            </w:r>
          </w:p>
        </w:tc>
        <w:tc>
          <w:tcPr>
            <w:tcW w:w="6520" w:type="dxa"/>
          </w:tcPr>
          <w:p w14:paraId="24A9C3D2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Definitie</w:t>
            </w:r>
          </w:p>
        </w:tc>
      </w:tr>
      <w:tr w:rsidR="00EF640F" w:rsidRPr="00866718" w14:paraId="7B1C0B90" w14:textId="77777777">
        <w:tc>
          <w:tcPr>
            <w:tcW w:w="3118" w:type="dxa"/>
          </w:tcPr>
          <w:p w14:paraId="29482C48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Bezoekers</w:t>
            </w:r>
          </w:p>
        </w:tc>
        <w:tc>
          <w:tcPr>
            <w:tcW w:w="6520" w:type="dxa"/>
          </w:tcPr>
          <w:p w14:paraId="50D79FD8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Unieke bezoekers, nieuwe bezoekers, sessies, engagement rate</w:t>
            </w:r>
          </w:p>
        </w:tc>
      </w:tr>
      <w:tr w:rsidR="00EF640F" w:rsidRPr="00866718" w14:paraId="3BDEB817" w14:textId="77777777">
        <w:tc>
          <w:tcPr>
            <w:tcW w:w="3118" w:type="dxa"/>
          </w:tcPr>
          <w:p w14:paraId="7DF49B4E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Zoekers koop vs huur</w:t>
            </w:r>
          </w:p>
        </w:tc>
        <w:tc>
          <w:tcPr>
            <w:tcW w:w="6520" w:type="dxa"/>
          </w:tcPr>
          <w:p w14:paraId="2BF6F340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Unieke bezoekers die die week ≥1 koop- resp. huurpandpagina bekeken. Overlap mogelijk: niet optellen. Eenzelfde persoon telt elke week opnieuw</w:t>
            </w:r>
          </w:p>
        </w:tc>
      </w:tr>
      <w:tr w:rsidR="00EF640F" w14:paraId="504DCC0C" w14:textId="77777777">
        <w:tc>
          <w:tcPr>
            <w:tcW w:w="3118" w:type="dxa"/>
          </w:tcPr>
          <w:p w14:paraId="6A491C06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Pandweergaves</w:t>
            </w:r>
          </w:p>
        </w:tc>
        <w:tc>
          <w:tcPr>
            <w:tcW w:w="6520" w:type="dxa"/>
          </w:tcPr>
          <w:p w14:paraId="11C511F0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Overzichts- en detailpagina's</w:t>
            </w:r>
          </w:p>
        </w:tc>
      </w:tr>
      <w:tr w:rsidR="00EF640F" w:rsidRPr="00866718" w14:paraId="7218B27D" w14:textId="77777777">
        <w:tc>
          <w:tcPr>
            <w:tcW w:w="3118" w:type="dxa"/>
          </w:tcPr>
          <w:p w14:paraId="5399DA79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Zoekopdrachten</w:t>
            </w:r>
          </w:p>
        </w:tc>
        <w:tc>
          <w:tcPr>
            <w:tcW w:w="6520" w:type="dxa"/>
          </w:tcPr>
          <w:p w14:paraId="505F464C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Uitgevoerde zoekopdrachten + unieke zoekende gebruikers</w:t>
            </w:r>
          </w:p>
        </w:tc>
      </w:tr>
      <w:tr w:rsidR="00EF640F" w14:paraId="4068DFE8" w14:textId="77777777">
        <w:tc>
          <w:tcPr>
            <w:tcW w:w="3118" w:type="dxa"/>
          </w:tcPr>
          <w:p w14:paraId="3884604B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Verkeersbronnen</w:t>
            </w:r>
          </w:p>
        </w:tc>
        <w:tc>
          <w:tcPr>
            <w:tcW w:w="6520" w:type="dxa"/>
          </w:tcPr>
          <w:p w14:paraId="496EF2E4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Sessies per kanaal</w:t>
            </w:r>
          </w:p>
        </w:tc>
      </w:tr>
    </w:tbl>
    <w:p w14:paraId="1262A146" w14:textId="77777777" w:rsidR="00EF640F" w:rsidRDefault="00EF640F"/>
    <w:p w14:paraId="6CD1B3AC" w14:textId="77777777" w:rsidR="00EF640F" w:rsidRPr="00866718" w:rsidRDefault="00000000">
      <w:pPr>
        <w:rPr>
          <w:lang w:val="nl-BE"/>
        </w:rPr>
      </w:pPr>
      <w:r w:rsidRPr="00866718">
        <w:rPr>
          <w:i/>
          <w:lang w:val="nl-BE"/>
        </w:rPr>
        <w:t>Vaste notitie: deze cijfers onderschatten de werkelijkheid met ±33% (cookieweigeraars en adblockers). Absolute aantallen zijn ondergrenzen; trends en verhoudingen zijn betrouwbaar. Bezoeker = browser/toestel, geen persoon.</w:t>
      </w:r>
    </w:p>
    <w:p w14:paraId="43E6C4FF" w14:textId="77777777" w:rsidR="00EF640F" w:rsidRDefault="00000000">
      <w:pPr>
        <w:pStyle w:val="Heading1"/>
      </w:pPr>
      <w:r>
        <w:rPr>
          <w:color w:val="1F4E79"/>
        </w:rPr>
        <w:t>Sectie 4 — Leads &amp; interactie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5932"/>
      </w:tblGrid>
      <w:tr w:rsidR="00EF640F" w14:paraId="3222D269" w14:textId="77777777">
        <w:tc>
          <w:tcPr>
            <w:tcW w:w="3118" w:type="dxa"/>
          </w:tcPr>
          <w:p w14:paraId="072039B1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Tabblad</w:t>
            </w:r>
          </w:p>
        </w:tc>
        <w:tc>
          <w:tcPr>
            <w:tcW w:w="6520" w:type="dxa"/>
          </w:tcPr>
          <w:p w14:paraId="7A51E09D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Definitie</w:t>
            </w:r>
          </w:p>
        </w:tc>
      </w:tr>
      <w:tr w:rsidR="00EF640F" w:rsidRPr="00866718" w14:paraId="6231B950" w14:textId="77777777">
        <w:tc>
          <w:tcPr>
            <w:tcW w:w="3118" w:type="dxa"/>
          </w:tcPr>
          <w:p w14:paraId="7CEEC4DB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Contactaanvragen</w:t>
            </w:r>
          </w:p>
        </w:tc>
        <w:tc>
          <w:tcPr>
            <w:tcW w:w="6520" w:type="dxa"/>
          </w:tcPr>
          <w:p w14:paraId="6F030708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Verzonden contactformulieren op panden, gesplitst infovraag / bezoekaanvraag</w:t>
            </w:r>
          </w:p>
        </w:tc>
      </w:tr>
      <w:tr w:rsidR="00EF640F" w:rsidRPr="00866718" w14:paraId="39F22F10" w14:textId="77777777">
        <w:tc>
          <w:tcPr>
            <w:tcW w:w="3118" w:type="dxa"/>
          </w:tcPr>
          <w:p w14:paraId="289F1232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Klikgedrag contact</w:t>
            </w:r>
          </w:p>
        </w:tc>
        <w:tc>
          <w:tcPr>
            <w:tcW w:w="6520" w:type="dxa"/>
          </w:tcPr>
          <w:p w14:paraId="7989E3B9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Kliks op bel-makelaar en formulier-CTA's</w:t>
            </w:r>
          </w:p>
        </w:tc>
      </w:tr>
      <w:tr w:rsidR="00EF640F" w:rsidRPr="00866718" w14:paraId="332DFBE5" w14:textId="77777777">
        <w:tc>
          <w:tcPr>
            <w:tcW w:w="3118" w:type="dxa"/>
          </w:tcPr>
          <w:p w14:paraId="1B044039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Registraties</w:t>
            </w:r>
          </w:p>
        </w:tc>
        <w:tc>
          <w:tcPr>
            <w:tcW w:w="6520" w:type="dxa"/>
          </w:tcPr>
          <w:p w14:paraId="0D208228" w14:textId="77777777" w:rsidR="00EF640F" w:rsidRPr="00866718" w:rsidRDefault="00000000">
            <w:pPr>
              <w:spacing w:before="40" w:after="40"/>
              <w:rPr>
                <w:lang w:val="nl-BE"/>
              </w:rPr>
            </w:pPr>
            <w:r w:rsidRPr="00866718">
              <w:rPr>
                <w:sz w:val="19"/>
                <w:lang w:val="nl-BE"/>
              </w:rPr>
              <w:t>Nieuwe accounts; waarvan makelaar; met nieuwsbriefinschrijving</w:t>
            </w:r>
          </w:p>
        </w:tc>
      </w:tr>
      <w:tr w:rsidR="00EF640F" w14:paraId="0F4CD2A1" w14:textId="77777777">
        <w:tc>
          <w:tcPr>
            <w:tcW w:w="3118" w:type="dxa"/>
          </w:tcPr>
          <w:p w14:paraId="06253EFC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Favorieten</w:t>
            </w:r>
          </w:p>
        </w:tc>
        <w:tc>
          <w:tcPr>
            <w:tcW w:w="6520" w:type="dxa"/>
          </w:tcPr>
          <w:p w14:paraId="5DEE0543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Bewaarde panden</w:t>
            </w:r>
          </w:p>
        </w:tc>
      </w:tr>
      <w:tr w:rsidR="00EF640F" w14:paraId="1D49D530" w14:textId="77777777">
        <w:tc>
          <w:tcPr>
            <w:tcW w:w="3118" w:type="dxa"/>
          </w:tcPr>
          <w:p w14:paraId="11392490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Partnerbanners</w:t>
            </w:r>
          </w:p>
        </w:tc>
        <w:tc>
          <w:tcPr>
            <w:tcW w:w="6520" w:type="dxa"/>
          </w:tcPr>
          <w:p w14:paraId="583C5305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Weergaves, bereikte gebruikers en kliks op partneradvertenties</w:t>
            </w:r>
          </w:p>
        </w:tc>
      </w:tr>
    </w:tbl>
    <w:p w14:paraId="34845B45" w14:textId="77777777" w:rsidR="00EF640F" w:rsidRDefault="00EF640F"/>
    <w:p w14:paraId="54AE2ED2" w14:textId="77777777" w:rsidR="00EF640F" w:rsidRDefault="00000000">
      <w:pPr>
        <w:pStyle w:val="Heading1"/>
      </w:pPr>
      <w:r>
        <w:rPr>
          <w:color w:val="1F4E79"/>
        </w:rPr>
        <w:t>Let op bij het lezen (gekende gebeurtenissen, géén markttendensen)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3111"/>
        <w:gridCol w:w="3942"/>
      </w:tblGrid>
      <w:tr w:rsidR="00EF640F" w14:paraId="280D02FA" w14:textId="77777777">
        <w:tc>
          <w:tcPr>
            <w:tcW w:w="1984" w:type="dxa"/>
          </w:tcPr>
          <w:p w14:paraId="39471671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Periode</w:t>
            </w:r>
          </w:p>
        </w:tc>
        <w:tc>
          <w:tcPr>
            <w:tcW w:w="3402" w:type="dxa"/>
          </w:tcPr>
          <w:p w14:paraId="7734B2F5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Wat</w:t>
            </w:r>
          </w:p>
        </w:tc>
        <w:tc>
          <w:tcPr>
            <w:tcW w:w="4252" w:type="dxa"/>
          </w:tcPr>
          <w:p w14:paraId="3BC24CE7" w14:textId="77777777" w:rsidR="00EF640F" w:rsidRDefault="00000000">
            <w:pPr>
              <w:spacing w:before="40" w:after="40"/>
            </w:pPr>
            <w:r>
              <w:rPr>
                <w:b/>
                <w:sz w:val="19"/>
              </w:rPr>
              <w:t>Effect</w:t>
            </w:r>
          </w:p>
        </w:tc>
      </w:tr>
      <w:tr w:rsidR="00EF640F" w14:paraId="52780B6D" w14:textId="77777777">
        <w:tc>
          <w:tcPr>
            <w:tcW w:w="1984" w:type="dxa"/>
          </w:tcPr>
          <w:p w14:paraId="1637E81F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Week 6–9 (feb)</w:t>
            </w:r>
          </w:p>
        </w:tc>
        <w:tc>
          <w:tcPr>
            <w:tcW w:w="3402" w:type="dxa"/>
          </w:tcPr>
          <w:p w14:paraId="79D0A2AF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Koppeling Dewaele stuurde te veel publicaties door</w:t>
            </w:r>
          </w:p>
        </w:tc>
        <w:tc>
          <w:tcPr>
            <w:tcW w:w="4252" w:type="dxa"/>
          </w:tcPr>
          <w:p w14:paraId="53FE00F8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Piek in nieuw én offline (sectie 1); online aanbod en objectcijfers (sectie 2) bleven correct</w:t>
            </w:r>
          </w:p>
        </w:tc>
      </w:tr>
      <w:tr w:rsidR="00EF640F" w14:paraId="3218CEB8" w14:textId="77777777">
        <w:tc>
          <w:tcPr>
            <w:tcW w:w="1984" w:type="dxa"/>
          </w:tcPr>
          <w:p w14:paraId="625B2C90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Vanaf week 9 (maart)</w:t>
            </w:r>
          </w:p>
        </w:tc>
        <w:tc>
          <w:tcPr>
            <w:tcW w:w="3402" w:type="dxa"/>
          </w:tcPr>
          <w:p w14:paraId="5EC97397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Betaalde zoekadvertenties bewust teruggeschroefd</w:t>
            </w:r>
          </w:p>
        </w:tc>
        <w:tc>
          <w:tcPr>
            <w:tcW w:w="4252" w:type="dxa"/>
          </w:tcPr>
          <w:p w14:paraId="71645B8B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Daling bezoekers en registraties is deels hierdoor, geen marktafkoeling</w:t>
            </w:r>
          </w:p>
        </w:tc>
      </w:tr>
      <w:tr w:rsidR="00EF640F" w14:paraId="6589B975" w14:textId="77777777">
        <w:tc>
          <w:tcPr>
            <w:tcW w:w="1984" w:type="dxa"/>
          </w:tcPr>
          <w:p w14:paraId="7CBF3FFB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Week 12 (18 maart)</w:t>
            </w:r>
          </w:p>
        </w:tc>
        <w:tc>
          <w:tcPr>
            <w:tcW w:w="3402" w:type="dxa"/>
          </w:tcPr>
          <w:p w14:paraId="500689E7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Contactformulier aangepast: dropdown volgt voortaan de geklikte knop</w:t>
            </w:r>
          </w:p>
        </w:tc>
        <w:tc>
          <w:tcPr>
            <w:tcW w:w="4252" w:type="dxa"/>
          </w:tcPr>
          <w:p w14:paraId="25E5375D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Verhouding infovraag/bezoekaanvraag pas vanaf week 13 betrouwbaar; totalen wel doorlopend bruikbaar</w:t>
            </w:r>
          </w:p>
        </w:tc>
      </w:tr>
      <w:tr w:rsidR="00EF640F" w14:paraId="7C4CDB57" w14:textId="77777777">
        <w:tc>
          <w:tcPr>
            <w:tcW w:w="1984" w:type="dxa"/>
          </w:tcPr>
          <w:p w14:paraId="6F9CB310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Week 14 (1 april)</w:t>
            </w:r>
          </w:p>
        </w:tc>
        <w:tc>
          <w:tcPr>
            <w:tcW w:w="3402" w:type="dxa"/>
          </w:tcPr>
          <w:p w14:paraId="698E6CCA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Nieuwe mobiele actiebalk (favoriet | bezoek | bel | pandscore)</w:t>
            </w:r>
          </w:p>
        </w:tc>
        <w:tc>
          <w:tcPr>
            <w:tcW w:w="4252" w:type="dxa"/>
          </w:tcPr>
          <w:p w14:paraId="17F06484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Bel-makelaar-kliks dalen blijvend; verschuiving naar bezoekaanvragen, geen leadverlies</w:t>
            </w:r>
          </w:p>
        </w:tc>
      </w:tr>
      <w:tr w:rsidR="00EF640F" w14:paraId="036B1711" w14:textId="77777777">
        <w:tc>
          <w:tcPr>
            <w:tcW w:w="1984" w:type="dxa"/>
          </w:tcPr>
          <w:p w14:paraId="2B878C12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Week 23 (2 juni)</w:t>
            </w:r>
          </w:p>
        </w:tc>
        <w:tc>
          <w:tcPr>
            <w:tcW w:w="3402" w:type="dxa"/>
          </w:tcPr>
          <w:p w14:paraId="0A1564EF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Commerciële portefeuille Ceusters toegevoegd (±900 huurpanden)</w:t>
            </w:r>
          </w:p>
        </w:tc>
        <w:tc>
          <w:tcPr>
            <w:tcW w:w="4252" w:type="dxa"/>
          </w:tcPr>
          <w:p w14:paraId="71CDE8DB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Huuraanbod 'overig' structureel +0,9k; eenmalige piek nieuwe huurpublicaties. Residentieel onaangetast</w:t>
            </w:r>
          </w:p>
        </w:tc>
      </w:tr>
      <w:tr w:rsidR="00EF640F" w14:paraId="78AFD2D0" w14:textId="77777777">
        <w:tc>
          <w:tcPr>
            <w:tcW w:w="1984" w:type="dxa"/>
          </w:tcPr>
          <w:p w14:paraId="3E60A43E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Week 24</w:t>
            </w:r>
          </w:p>
        </w:tc>
        <w:tc>
          <w:tcPr>
            <w:tcW w:w="3402" w:type="dxa"/>
          </w:tcPr>
          <w:p w14:paraId="1C89B9CA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Lopende week</w:t>
            </w:r>
          </w:p>
        </w:tc>
        <w:tc>
          <w:tcPr>
            <w:tcW w:w="4252" w:type="dxa"/>
          </w:tcPr>
          <w:p w14:paraId="6AA936FF" w14:textId="77777777" w:rsidR="00EF640F" w:rsidRDefault="00000000">
            <w:pPr>
              <w:spacing w:before="40" w:after="40"/>
            </w:pPr>
            <w:r>
              <w:rPr>
                <w:sz w:val="19"/>
              </w:rPr>
              <w:t>Alle cijfers onvolledig (t/m vr 12 juni); verkeersbronnen pas definitief na weekafsluiting</w:t>
            </w:r>
          </w:p>
        </w:tc>
      </w:tr>
    </w:tbl>
    <w:p w14:paraId="0C377146" w14:textId="77777777" w:rsidR="00EF640F" w:rsidRDefault="00EF640F"/>
    <w:p w14:paraId="460139B6" w14:textId="77777777" w:rsidR="00EF640F" w:rsidRDefault="00000000">
      <w:r>
        <w:rPr>
          <w:b/>
        </w:rPr>
        <w:lastRenderedPageBreak/>
        <w:t>Algemeen: publicatiecijfers (sectie 1) en pandcijfers (sectie 2) beantwoorden verschillende vragen — hoeveel aanbod stond online vs hoeveel unieke panden kwamen op de markt. Het verschil is herpublicatie, geen dubbeltelling-fout.</w:t>
      </w:r>
    </w:p>
    <w:sectPr w:rsidR="00EF6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03825">
    <w:abstractNumId w:val="8"/>
  </w:num>
  <w:num w:numId="2" w16cid:durableId="1639190975">
    <w:abstractNumId w:val="6"/>
  </w:num>
  <w:num w:numId="3" w16cid:durableId="2098403073">
    <w:abstractNumId w:val="5"/>
  </w:num>
  <w:num w:numId="4" w16cid:durableId="476923809">
    <w:abstractNumId w:val="4"/>
  </w:num>
  <w:num w:numId="5" w16cid:durableId="1477264952">
    <w:abstractNumId w:val="7"/>
  </w:num>
  <w:num w:numId="6" w16cid:durableId="2082556788">
    <w:abstractNumId w:val="3"/>
  </w:num>
  <w:num w:numId="7" w16cid:durableId="724455575">
    <w:abstractNumId w:val="2"/>
  </w:num>
  <w:num w:numId="8" w16cid:durableId="729579131">
    <w:abstractNumId w:val="1"/>
  </w:num>
  <w:num w:numId="9" w16cid:durableId="103797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718"/>
    <w:rsid w:val="00AA1D8D"/>
    <w:rsid w:val="00B41AC6"/>
    <w:rsid w:val="00B47730"/>
    <w:rsid w:val="00CB0664"/>
    <w:rsid w:val="00EF6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11471"/>
  <w14:defaultImageDpi w14:val="300"/>
  <w15:docId w15:val="{CD2C3DD5-59BE-4F57-BF1A-9311AFEF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 Pinnock</cp:lastModifiedBy>
  <cp:revision>2</cp:revision>
  <dcterms:created xsi:type="dcterms:W3CDTF">2013-12-23T23:15:00Z</dcterms:created>
  <dcterms:modified xsi:type="dcterms:W3CDTF">2026-06-12T11:06:00Z</dcterms:modified>
  <cp:category/>
</cp:coreProperties>
</file>