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BLITS</w:t>
      </w:r>
      <w:r>
        <w:t xml:space="preserve"> </w:t>
      </w:r>
      <w:r>
        <w:t xml:space="preserve">Producten</w:t>
      </w:r>
      <w:r>
        <w:t xml:space="preserve"> </w:t>
      </w:r>
      <w:r>
        <w:t xml:space="preserve">en</w:t>
      </w:r>
      <w:r>
        <w:t xml:space="preserve"> </w:t>
      </w:r>
      <w:r>
        <w:t xml:space="preserve">verpakking</w:t>
      </w:r>
    </w:p>
    <w:p>
      <w:pPr>
        <w:pStyle w:val="Subtitle"/>
      </w:pPr>
      <w:r>
        <w:t xml:space="preserve">Assortiment,</w:t>
      </w:r>
      <w:r>
        <w:t xml:space="preserve"> </w:t>
      </w:r>
      <w:r>
        <w:t xml:space="preserve">productrichting,</w:t>
      </w:r>
      <w:r>
        <w:t xml:space="preserve"> </w:t>
      </w:r>
      <w:r>
        <w:t xml:space="preserve">fysieke</w:t>
      </w:r>
      <w:r>
        <w:t xml:space="preserve"> </w:t>
      </w:r>
      <w:r>
        <w:t xml:space="preserve">merktekens</w:t>
      </w:r>
      <w:r>
        <w:t xml:space="preserve"> </w:t>
      </w:r>
      <w:r>
        <w:t xml:space="preserve">en</w:t>
      </w:r>
      <w:r>
        <w:t xml:space="preserve"> </w:t>
      </w:r>
      <w:r>
        <w:t xml:space="preserve">verpakkingsvoorstel</w:t>
      </w:r>
    </w:p>
    <w:p>
      <w:pPr>
        <w:pStyle w:val="Date"/>
      </w:pPr>
      <w:r>
        <w:t xml:space="preserve">Stand</w:t>
      </w:r>
      <w:r>
        <w:t xml:space="preserve"> </w:t>
      </w:r>
      <w:r>
        <w:t xml:space="preserve">14</w:t>
      </w:r>
      <w:r>
        <w:t xml:space="preserve"> </w:t>
      </w:r>
      <w:r>
        <w:t xml:space="preserve">oktober</w:t>
      </w:r>
      <w:r>
        <w:t xml:space="preserve"> </w:t>
      </w:r>
      <w:r>
        <w:t xml:space="preserve">2026</w:t>
      </w:r>
    </w:p>
    <w:bookmarkStart w:id="20" w:name="waar-dit-document-voor-is"/>
    <w:p>
      <w:pPr>
        <w:pStyle w:val="Heading1"/>
      </w:pPr>
      <w:r>
        <w:t xml:space="preserve">Waar dit document voor is</w:t>
      </w:r>
    </w:p>
    <w:p>
      <w:pPr>
        <w:pStyle w:val="FirstParagraph"/>
      </w:pPr>
      <w:r>
        <w:t xml:space="preserve">Wat BLITS verkoopt, hoe de producten eruit moeten gaan zien in de nieuwe huisstijl, en hoe de verpakking wordt voorgesteld. Het bevat een voorstel voor de verpakking dat nog niet formeel is bevestigd, en een lijst met wat een verpakkingsdesigner nog nodig heeft.</w:t>
      </w:r>
    </w:p>
    <w:bookmarkEnd w:id="20"/>
    <w:bookmarkStart w:id="21" w:name="twee-productlijnen"/>
    <w:p>
      <w:pPr>
        <w:pStyle w:val="Heading1"/>
      </w:pPr>
      <w:r>
        <w:t xml:space="preserve">Twee productlijnen</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pPr>
          </w:p>
        </w:tc>
        <w:tc>
          <w:tcPr/>
          <w:p>
            <w:pPr>
              <w:pStyle w:val="Compact"/>
              <w:jc w:val="left"/>
            </w:pPr>
            <w:r>
              <w:t xml:space="preserve">Sport-lijn</w:t>
            </w:r>
          </w:p>
        </w:tc>
        <w:tc>
          <w:tcPr/>
          <w:p>
            <w:pPr>
              <w:pStyle w:val="Compact"/>
              <w:jc w:val="left"/>
            </w:pPr>
            <w:r>
              <w:t xml:space="preserve">Speeltoestellen-lijn</w:t>
            </w:r>
          </w:p>
        </w:tc>
      </w:tr>
      <w:tr>
        <w:tc>
          <w:tcPr/>
          <w:p>
            <w:pPr>
              <w:pStyle w:val="Compact"/>
              <w:jc w:val="left"/>
            </w:pPr>
            <w:r>
              <w:t xml:space="preserve">Producten</w:t>
            </w:r>
          </w:p>
        </w:tc>
        <w:tc>
          <w:tcPr/>
          <w:p>
            <w:pPr>
              <w:pStyle w:val="Compact"/>
              <w:jc w:val="left"/>
            </w:pPr>
            <w:r>
              <w:t xml:space="preserve">Voetbaldoelen, basketbalpalen, trampolines, rebounders</w:t>
            </w:r>
          </w:p>
        </w:tc>
        <w:tc>
          <w:tcPr/>
          <w:p>
            <w:pPr>
              <w:pStyle w:val="Compact"/>
              <w:jc w:val="left"/>
            </w:pPr>
            <w:r>
              <w:t xml:space="preserve">Speelhuizen, schommels, zandbakken</w:t>
            </w:r>
          </w:p>
        </w:tc>
      </w:tr>
      <w:tr>
        <w:tc>
          <w:tcPr/>
          <w:p>
            <w:pPr>
              <w:pStyle w:val="Compact"/>
              <w:jc w:val="left"/>
            </w:pPr>
            <w:r>
              <w:t xml:space="preserve">Status</w:t>
            </w:r>
          </w:p>
        </w:tc>
        <w:tc>
          <w:tcPr/>
          <w:p>
            <w:pPr>
              <w:pStyle w:val="Compact"/>
              <w:jc w:val="left"/>
            </w:pPr>
            <w:r>
              <w:t xml:space="preserve">Verkoopt al; de volumemerk-lijn</w:t>
            </w:r>
          </w:p>
        </w:tc>
        <w:tc>
          <w:tcPr/>
          <w:p>
            <w:pPr>
              <w:pStyle w:val="Compact"/>
              <w:jc w:val="left"/>
            </w:pPr>
            <w:r>
              <w:t xml:space="preserve">Nieuw; de speelhuizen-inkoop is de eerstvolgende stap</w:t>
            </w:r>
          </w:p>
        </w:tc>
      </w:tr>
      <w:tr>
        <w:tc>
          <w:tcPr/>
          <w:p>
            <w:pPr>
              <w:pStyle w:val="Compact"/>
              <w:jc w:val="left"/>
            </w:pPr>
            <w:r>
              <w:t xml:space="preserve">Koper</w:t>
            </w:r>
          </w:p>
        </w:tc>
        <w:tc>
          <w:tcPr/>
          <w:p>
            <w:pPr>
              <w:pStyle w:val="Compact"/>
              <w:jc w:val="left"/>
            </w:pPr>
            <w:r>
              <w:t xml:space="preserve">Vaak vader, kind van 8 tot 14 jaar</w:t>
            </w:r>
          </w:p>
        </w:tc>
        <w:tc>
          <w:tcPr/>
          <w:p>
            <w:pPr>
              <w:pStyle w:val="Compact"/>
              <w:jc w:val="left"/>
            </w:pPr>
            <w:r>
              <w:t xml:space="preserve">Vaak moeder, kind van 1 tot 8 jaar</w:t>
            </w:r>
          </w:p>
        </w:tc>
      </w:tr>
      <w:tr>
        <w:tc>
          <w:tcPr/>
          <w:p>
            <w:pPr>
              <w:pStyle w:val="Compact"/>
              <w:jc w:val="left"/>
            </w:pPr>
            <w:r>
              <w:t xml:space="preserve">Toon en beeld</w:t>
            </w:r>
          </w:p>
        </w:tc>
        <w:tc>
          <w:tcPr/>
          <w:p>
            <w:pPr>
              <w:pStyle w:val="Compact"/>
              <w:jc w:val="left"/>
            </w:pPr>
            <w:r>
              <w:t xml:space="preserve">Stoer, hard licht, documentair</w:t>
            </w:r>
          </w:p>
        </w:tc>
        <w:tc>
          <w:tcPr/>
          <w:p>
            <w:pPr>
              <w:pStyle w:val="Compact"/>
              <w:jc w:val="left"/>
            </w:pPr>
            <w:r>
              <w:t xml:space="preserve">Warm, natuurlijk daglicht, sfeervol</w:t>
            </w:r>
          </w:p>
        </w:tc>
      </w:tr>
    </w:tbl>
    <w:p>
      <w:pPr>
        <w:pStyle w:val="BodyText"/>
      </w:pPr>
      <w:r>
        <w:t xml:space="preserve">Voor omzet, targets en actieve initiatieven is de Toppy-kennisbank de bron (</w:t>
      </w:r>
      <w:r>
        <w:rPr>
          <w:rStyle w:val="VerbatimChar"/>
        </w:rPr>
        <w:t xml:space="preserve">bartschilten/kennisbank</w:t>
      </w:r>
      <w:r>
        <w:t xml:space="preserve">).</w:t>
      </w:r>
    </w:p>
    <w:bookmarkEnd w:id="21"/>
    <w:bookmarkStart w:id="25" w:name="huidig-sport-assortiment-indicatie"/>
    <w:p>
      <w:pPr>
        <w:pStyle w:val="Heading1"/>
      </w:pPr>
      <w:r>
        <w:t xml:space="preserve">Huidig sport-assortiment (indicatie)</w:t>
      </w:r>
    </w:p>
    <w:p>
      <w:pPr>
        <w:pStyle w:val="FirstParagraph"/>
      </w:pPr>
      <w:r>
        <w:t xml:space="preserve">Gebaseerd op de productsheet van oktober 2025 en een leveranciersoffertesheet van augustus 2026. De opgave van de leverancier kan nog wijzigen.</w:t>
      </w:r>
    </w:p>
    <w:bookmarkStart w:id="22" w:name="voetbaldoelen"/>
    <w:p>
      <w:pPr>
        <w:pStyle w:val="Heading2"/>
      </w:pPr>
      <w:r>
        <w:t xml:space="preserve">Voetbaldoelen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Maat</w:t>
            </w:r>
          </w:p>
        </w:tc>
        <w:tc>
          <w:tcPr/>
          <w:p>
            <w:pPr>
              <w:pStyle w:val="Compact"/>
              <w:jc w:val="left"/>
            </w:pPr>
            <w:r>
              <w:t xml:space="preserve">Staaldikte</w:t>
            </w:r>
          </w:p>
        </w:tc>
        <w:tc>
          <w:tcPr/>
          <w:p>
            <w:pPr>
              <w:pStyle w:val="Compact"/>
              <w:jc w:val="left"/>
            </w:pPr>
            <w:r>
              <w:t xml:space="preserve">Opmerking</w:t>
            </w:r>
          </w:p>
        </w:tc>
      </w:tr>
      <w:tr>
        <w:tc>
          <w:tcPr/>
          <w:p>
            <w:pPr>
              <w:pStyle w:val="Compact"/>
              <w:jc w:val="left"/>
            </w:pPr>
            <w:r>
              <w:t xml:space="preserve">90 x 60 cm (set van 2)</w:t>
            </w:r>
          </w:p>
        </w:tc>
        <w:tc>
          <w:tcPr/>
          <w:p>
            <w:pPr>
              <w:pStyle w:val="Compact"/>
              <w:jc w:val="left"/>
            </w:pPr>
            <w:r>
              <w:t xml:space="preserve">0,8 mm</w:t>
            </w:r>
          </w:p>
        </w:tc>
        <w:tc>
          <w:tcPr/>
          <w:p>
            <w:pPr>
              <w:pStyle w:val="Compact"/>
              <w:jc w:val="left"/>
            </w:pPr>
            <w:r>
              <w:t xml:space="preserve">Opvouwbaar, 11 kg</w:t>
            </w:r>
          </w:p>
        </w:tc>
      </w:tr>
      <w:tr>
        <w:tc>
          <w:tcPr/>
          <w:p>
            <w:pPr>
              <w:pStyle w:val="Compact"/>
              <w:jc w:val="left"/>
            </w:pPr>
            <w:r>
              <w:t xml:space="preserve">180 x 120 cm</w:t>
            </w:r>
          </w:p>
        </w:tc>
        <w:tc>
          <w:tcPr/>
          <w:p>
            <w:pPr>
              <w:pStyle w:val="Compact"/>
              <w:jc w:val="left"/>
            </w:pPr>
            <w:r>
              <w:t xml:space="preserve">1,0 mm</w:t>
            </w:r>
          </w:p>
        </w:tc>
        <w:tc>
          <w:tcPr/>
          <w:p>
            <w:pPr>
              <w:pStyle w:val="Compact"/>
            </w:pPr>
          </w:p>
        </w:tc>
      </w:tr>
      <w:tr>
        <w:tc>
          <w:tcPr/>
          <w:p>
            <w:pPr>
              <w:pStyle w:val="Compact"/>
              <w:jc w:val="left"/>
            </w:pPr>
            <w:r>
              <w:t xml:space="preserve">240 x 160 cm</w:t>
            </w:r>
          </w:p>
        </w:tc>
        <w:tc>
          <w:tcPr/>
          <w:p>
            <w:pPr>
              <w:pStyle w:val="Compact"/>
              <w:jc w:val="left"/>
            </w:pPr>
            <w:r>
              <w:t xml:space="preserve">1,2 mm</w:t>
            </w:r>
          </w:p>
        </w:tc>
        <w:tc>
          <w:tcPr/>
          <w:p>
            <w:pPr>
              <w:pStyle w:val="Compact"/>
              <w:jc w:val="left"/>
            </w:pPr>
            <w:r>
              <w:t xml:space="preserve">Keurmerk: TÜV, CE, EN 71</w:t>
            </w:r>
          </w:p>
        </w:tc>
      </w:tr>
      <w:tr>
        <w:tc>
          <w:tcPr/>
          <w:p>
            <w:pPr>
              <w:pStyle w:val="Compact"/>
              <w:jc w:val="left"/>
            </w:pPr>
            <w:r>
              <w:t xml:space="preserve">300 x 200 cm</w:t>
            </w:r>
          </w:p>
        </w:tc>
        <w:tc>
          <w:tcPr/>
          <w:p>
            <w:pPr>
              <w:pStyle w:val="Compact"/>
              <w:jc w:val="left"/>
            </w:pPr>
            <w:r>
              <w:t xml:space="preserve">1,2 mm</w:t>
            </w:r>
          </w:p>
        </w:tc>
        <w:tc>
          <w:tcPr/>
          <w:p>
            <w:pPr>
              <w:pStyle w:val="Compact"/>
            </w:pPr>
          </w:p>
        </w:tc>
      </w:tr>
      <w:tr>
        <w:tc>
          <w:tcPr/>
          <w:p>
            <w:pPr>
              <w:pStyle w:val="Compact"/>
              <w:jc w:val="left"/>
            </w:pPr>
            <w:r>
              <w:t xml:space="preserve">500 x 200 cm</w:t>
            </w:r>
          </w:p>
        </w:tc>
        <w:tc>
          <w:tcPr/>
          <w:p>
            <w:pPr>
              <w:pStyle w:val="Compact"/>
              <w:jc w:val="left"/>
            </w:pPr>
            <w:r>
              <w:t xml:space="preserve">2,0 mm</w:t>
            </w:r>
          </w:p>
        </w:tc>
        <w:tc>
          <w:tcPr/>
          <w:p>
            <w:pPr>
              <w:pStyle w:val="Compact"/>
            </w:pPr>
          </w:p>
        </w:tc>
      </w:tr>
    </w:tbl>
    <w:p>
      <w:pPr>
        <w:pStyle w:val="BodyText"/>
      </w:pPr>
      <w:r>
        <w:t xml:space="preserve">Alle doelen: zwart, frame van gegalvaniseerd en gepoedercoat staal met zacht foam om het frame, net van PE-kunststof (verwisselbaar), inclusief ankerpennen (behalve de 90 x 60 set), 2 jaar garantie op het frame, CE en EN 71.</w:t>
      </w:r>
    </w:p>
    <w:bookmarkEnd w:id="22"/>
    <w:bookmarkStart w:id="23" w:name="trampolines-en-rebounders"/>
    <w:p>
      <w:pPr>
        <w:pStyle w:val="Heading2"/>
      </w:pPr>
      <w:r>
        <w:t xml:space="preserve">Trampolines en rebounders</w:t>
      </w:r>
    </w:p>
    <w:p>
      <w:pPr>
        <w:numPr>
          <w:ilvl w:val="0"/>
          <w:numId w:val="1001"/>
        </w:numPr>
        <w:pStyle w:val="Compact"/>
      </w:pPr>
      <w:r>
        <w:rPr>
          <w:bCs/>
          <w:b/>
        </w:rPr>
        <w:t xml:space="preserve">Urban Sports inground-trampolines</w:t>
      </w:r>
      <w:r>
        <w:t xml:space="preserve"> </w:t>
      </w:r>
      <w:r>
        <w:t xml:space="preserve">(ingegraven): onder andere 214 x 153, 305 x 213, 366 x 244 cm, en rond Ø 183 en Ø 366 cm.</w:t>
      </w:r>
    </w:p>
    <w:p>
      <w:pPr>
        <w:numPr>
          <w:ilvl w:val="0"/>
          <w:numId w:val="1001"/>
        </w:numPr>
        <w:pStyle w:val="Compact"/>
      </w:pPr>
      <w:r>
        <w:rPr>
          <w:bCs/>
          <w:b/>
        </w:rPr>
        <w:t xml:space="preserve">Urban-trampolines</w:t>
      </w:r>
      <w:r>
        <w:t xml:space="preserve"> </w:t>
      </w:r>
      <w:r>
        <w:t xml:space="preserve">(met frame van 70 tot 90 cm hoog): onder andere 214 x 153, 305 x 213 en 366 x 244 cm.</w:t>
      </w:r>
    </w:p>
    <w:p>
      <w:pPr>
        <w:numPr>
          <w:ilvl w:val="0"/>
          <w:numId w:val="1001"/>
        </w:numPr>
        <w:pStyle w:val="Compact"/>
      </w:pPr>
      <w:r>
        <w:rPr>
          <w:bCs/>
          <w:b/>
        </w:rPr>
        <w:t xml:space="preserve">Veerhoezen</w:t>
      </w:r>
      <w:r>
        <w:t xml:space="preserve"> </w:t>
      </w:r>
      <w:r>
        <w:t xml:space="preserve">(</w:t>
      </w:r>
      <w:r>
        <w:t xml:space="preserve">“</w:t>
      </w:r>
      <w:r>
        <w:t xml:space="preserve">rand</w:t>
      </w:r>
      <w:r>
        <w:t xml:space="preserve">”</w:t>
      </w:r>
      <w:r>
        <w:t xml:space="preserve">), ook in een premium variant en een brede variant, in veel maten.</w:t>
      </w:r>
    </w:p>
    <w:p>
      <w:pPr>
        <w:numPr>
          <w:ilvl w:val="0"/>
          <w:numId w:val="1001"/>
        </w:numPr>
        <w:pStyle w:val="Compact"/>
      </w:pPr>
      <w:r>
        <w:rPr>
          <w:bCs/>
          <w:b/>
        </w:rPr>
        <w:t xml:space="preserve">Rebounder</w:t>
      </w:r>
      <w:r>
        <w:t xml:space="preserve">, verstelbaar, 124 x 124 cm.</w:t>
      </w:r>
    </w:p>
    <w:bookmarkEnd w:id="23"/>
    <w:bookmarkStart w:id="24" w:name="verpakking-in-de-offerte"/>
    <w:p>
      <w:pPr>
        <w:pStyle w:val="Heading2"/>
      </w:pPr>
      <w:r>
        <w:t xml:space="preserve">Verpakking in de offerte</w:t>
      </w:r>
    </w:p>
    <w:p>
      <w:pPr>
        <w:pStyle w:val="FirstParagraph"/>
      </w:pPr>
      <w:r>
        <w:t xml:space="preserve">Trampolines komen in</w:t>
      </w:r>
      <w:r>
        <w:t xml:space="preserve"> </w:t>
      </w:r>
      <w:r>
        <w:rPr>
          <w:bCs/>
          <w:b/>
        </w:rPr>
        <w:t xml:space="preserve">2 tot 5 aparte dozen</w:t>
      </w:r>
      <w:r>
        <w:t xml:space="preserve"> </w:t>
      </w:r>
      <w:r>
        <w:t xml:space="preserve">per set, bijvoorbeeld 4 dozen bij 305 x 213 cm (onder andere 1210 x 620 x 135 mm en 1020 x 370 x 110 mm) en 5 dozen bij 366 x 244 cm. De totale set weegt ongeveer 33 tot 68 kg. Elke doos heeft een eigen EAN. Veerhoezen komen in 1 doos van 1000 tot 1700 x 500 tot 660 x 140 tot 280 mm en wegen 4 tot 13 kg. Voor de doelen, basketbalpalen, rebounders en speelhuizen zijn de doosmaten nog niet beschikbaar.</w:t>
      </w:r>
    </w:p>
    <w:bookmarkEnd w:id="24"/>
    <w:bookmarkEnd w:id="25"/>
    <w:bookmarkStart w:id="26" w:name="X77379ce4fe0ed1f3ed74b32feed6d368d9acbfb"/>
    <w:p>
      <w:pPr>
        <w:pStyle w:val="Heading1"/>
      </w:pPr>
      <w:r>
        <w:t xml:space="preserve">Sport-lijn: productrichting in de nieuwe huisstijl</w:t>
      </w:r>
    </w:p>
    <w:p>
      <w:pPr>
        <w:pStyle w:val="FirstParagraph"/>
      </w:pPr>
      <w:r>
        <w:t xml:space="preserve">Het idee is een</w:t>
      </w:r>
      <w:r>
        <w:t xml:space="preserve"> </w:t>
      </w:r>
      <w:r>
        <w:rPr>
          <w:bCs/>
          <w:b/>
        </w:rPr>
        <w:t xml:space="preserve">kleur- en tekstvervanging</w:t>
      </w:r>
      <w:r>
        <w:t xml:space="preserve"> </w:t>
      </w:r>
      <w:r>
        <w:t xml:space="preserve">op bestaande, functioneel goede producten, geen duur herontwerp. Elke zwarte oppervlakte (frame, padding) wordt Night Pitch Green: dezelfde rol die zwart al had, nu in de merkkleur. Dat past bij</w:t>
      </w:r>
      <w:r>
        <w:t xml:space="preserve"> </w:t>
      </w:r>
      <w:r>
        <w:t xml:space="preserve">“</w:t>
      </w:r>
      <w:r>
        <w:t xml:space="preserve">toegankelijk in prijs, premium in uitvoering</w:t>
      </w:r>
      <w:r>
        <w:t xml:space="preserve">”</w:t>
      </w:r>
      <w:r>
        <w:t xml:space="preserve">.</w:t>
      </w:r>
    </w:p>
    <w:p>
      <w:pPr>
        <w:pStyle w:val="BlockText"/>
      </w:pPr>
      <w:r>
        <w:t xml:space="preserve">Bijgewerkt op 14 oktober 2026 op het nieuwe palet (Night Pitch Green, Basketball Red, Soccer Green). De eerdere versie stond op het oude palet. Er zijn ook nieuwe prompts voor Nano Banana (beeldbewerking) in de kennisbank. De uitkomst is nog</w:t>
      </w:r>
      <w:r>
        <w:t xml:space="preserve"> </w:t>
      </w:r>
      <w:r>
        <w:rPr>
          <w:bCs/>
          <w:b/>
        </w:rPr>
        <w:t xml:space="preserve">niet visueel gecheckt</w:t>
      </w:r>
      <w:r>
        <w:t xml:space="preserve"> </w:t>
      </w:r>
      <w:r>
        <w:t xml:space="preserve">door Bart; er wordt niets geproduceerd voordat hij dat gedaan heeft.</w:t>
      </w:r>
    </w:p>
    <w:p>
      <w:pPr>
        <w:pStyle w:val="FirstParagraph"/>
      </w:pPr>
      <w:r>
        <w:rPr>
          <w:bCs/>
          <w:b/>
        </w:rPr>
        <w:t xml:space="preserve">Voetbaldoel.</w:t>
      </w:r>
    </w:p>
    <w:p>
      <w:pPr>
        <w:numPr>
          <w:ilvl w:val="0"/>
          <w:numId w:val="1002"/>
        </w:numPr>
        <w:pStyle w:val="Compact"/>
      </w:pPr>
      <w:r>
        <w:t xml:space="preserve">Frame en hoekpadding: van zwart naar Night Pitch Green</w:t>
      </w:r>
      <w:r>
        <w:t xml:space="preserve"> </w:t>
      </w:r>
      <w:r>
        <w:rPr>
          <w:rStyle w:val="VerbatimChar"/>
        </w:rPr>
        <w:t xml:space="preserve">#06150E</w:t>
      </w:r>
      <w:r>
        <w:t xml:space="preserve">.</w:t>
      </w:r>
    </w:p>
    <w:p>
      <w:pPr>
        <w:numPr>
          <w:ilvl w:val="0"/>
          <w:numId w:val="1002"/>
        </w:numPr>
        <w:pStyle w:val="Compact"/>
      </w:pPr>
      <w:r>
        <w:t xml:space="preserve">De tekst op de bovenbalk: van</w:t>
      </w:r>
      <w:r>
        <w:t xml:space="preserve"> </w:t>
      </w:r>
      <w:r>
        <w:t xml:space="preserve">“</w:t>
      </w:r>
      <w:r>
        <w:t xml:space="preserve">PLAY MORE</w:t>
      </w:r>
      <w:r>
        <w:t xml:space="preserve">”</w:t>
      </w:r>
      <w:r>
        <w:t xml:space="preserve"> </w:t>
      </w:r>
      <w:r>
        <w:t xml:space="preserve">naar</w:t>
      </w:r>
      <w:r>
        <w:t xml:space="preserve"> </w:t>
      </w:r>
      <w:r>
        <w:t xml:space="preserve">“</w:t>
      </w:r>
      <w:r>
        <w:t xml:space="preserve">OUTSIDE WINS.</w:t>
      </w:r>
      <w:r>
        <w:t xml:space="preserve">”</w:t>
      </w:r>
      <w:r>
        <w:t xml:space="preserve"> </w:t>
      </w:r>
      <w:r>
        <w:t xml:space="preserve">in TT Autonomous Bold Italic, hoofdletters, wit, gecentreerd.</w:t>
      </w:r>
    </w:p>
    <w:p>
      <w:pPr>
        <w:numPr>
          <w:ilvl w:val="0"/>
          <w:numId w:val="1002"/>
        </w:numPr>
        <w:pStyle w:val="Compact"/>
      </w:pPr>
      <w:r>
        <w:t xml:space="preserve">Nieuw: een dunne Basketball Red-bies (</w:t>
      </w:r>
      <w:r>
        <w:rPr>
          <w:rStyle w:val="VerbatimChar"/>
        </w:rPr>
        <w:t xml:space="preserve">#D74A23</w:t>
      </w:r>
      <w:r>
        <w:t xml:space="preserve">) langs de bovenrand van de balkpadding. Dit is het Golden Goal-merkteken, hier voor het eerst concreet toegepast.</w:t>
      </w:r>
    </w:p>
    <w:p>
      <w:pPr>
        <w:numPr>
          <w:ilvl w:val="0"/>
          <w:numId w:val="1002"/>
        </w:numPr>
        <w:pStyle w:val="Compact"/>
      </w:pPr>
      <w:r>
        <w:t xml:space="preserve">Het vierkante schild-patchje midden in het net: Night Pitch Green als achtergrond, met schild en</w:t>
      </w:r>
      <w:r>
        <w:t xml:space="preserve"> </w:t>
      </w:r>
      <w:r>
        <w:t xml:space="preserve">“</w:t>
      </w:r>
      <w:r>
        <w:t xml:space="preserve">BLITS</w:t>
      </w:r>
      <w:r>
        <w:t xml:space="preserve">”</w:t>
      </w:r>
      <w:r>
        <w:t xml:space="preserve"> </w:t>
      </w:r>
      <w:r>
        <w:t xml:space="preserve">in Soccer Green (</w:t>
      </w:r>
      <w:r>
        <w:rPr>
          <w:rStyle w:val="VerbatimChar"/>
        </w:rPr>
        <w:t xml:space="preserve">#09CD66</w:t>
      </w:r>
      <w:r>
        <w:t xml:space="preserve">). Dit is in feite het BLITS-schildplaatje dat al bestaat; het hoeft alleen herkleurd te worden.</w:t>
      </w:r>
    </w:p>
    <w:p>
      <w:pPr>
        <w:pStyle w:val="FirstParagraph"/>
      </w:pPr>
      <w:r>
        <w:rPr>
          <w:bCs/>
          <w:b/>
        </w:rPr>
        <w:t xml:space="preserve">Trampoline.</w:t>
      </w:r>
    </w:p>
    <w:p>
      <w:pPr>
        <w:numPr>
          <w:ilvl w:val="0"/>
          <w:numId w:val="1003"/>
        </w:numPr>
        <w:pStyle w:val="Compact"/>
      </w:pPr>
      <w:r>
        <w:t xml:space="preserve">Padding: van zwart naar Night Pitch Green.</w:t>
      </w:r>
    </w:p>
    <w:p>
      <w:pPr>
        <w:numPr>
          <w:ilvl w:val="0"/>
          <w:numId w:val="1003"/>
        </w:numPr>
        <w:pStyle w:val="Compact"/>
      </w:pPr>
      <w:r>
        <w:t xml:space="preserve">De wordmark bovenop (schild en</w:t>
      </w:r>
      <w:r>
        <w:t xml:space="preserve"> </w:t>
      </w:r>
      <w:r>
        <w:t xml:space="preserve">“</w:t>
      </w:r>
      <w:r>
        <w:t xml:space="preserve">BLITS</w:t>
      </w:r>
      <w:r>
        <w:t xml:space="preserve">”</w:t>
      </w:r>
      <w:r>
        <w:t xml:space="preserve">): van wit naar Soccer Green op Night Pitch Green.</w:t>
      </w:r>
    </w:p>
    <w:p>
      <w:pPr>
        <w:numPr>
          <w:ilvl w:val="0"/>
          <w:numId w:val="1003"/>
        </w:numPr>
        <w:pStyle w:val="Compact"/>
      </w:pPr>
      <w:r>
        <w:t xml:space="preserve">De voorkanttekst van</w:t>
      </w:r>
      <w:r>
        <w:t xml:space="preserve"> </w:t>
      </w:r>
      <w:r>
        <w:t xml:space="preserve">“</w:t>
      </w:r>
      <w:r>
        <w:t xml:space="preserve">PLAY MORE</w:t>
      </w:r>
      <w:r>
        <w:t xml:space="preserve">”</w:t>
      </w:r>
      <w:r>
        <w:t xml:space="preserve"> </w:t>
      </w:r>
      <w:r>
        <w:t xml:space="preserve">naar</w:t>
      </w:r>
      <w:r>
        <w:t xml:space="preserve"> </w:t>
      </w:r>
      <w:r>
        <w:t xml:space="preserve">“</w:t>
      </w:r>
      <w:r>
        <w:t xml:space="preserve">OUTSIDE WINS.</w:t>
      </w:r>
      <w:r>
        <w:t xml:space="preserve">”</w:t>
      </w:r>
      <w:r>
        <w:t xml:space="preserve"> </w:t>
      </w:r>
      <w:r>
        <w:t xml:space="preserve">in TT Autonomous Bold Italic, hoofdletters, wit.</w:t>
      </w:r>
    </w:p>
    <w:p>
      <w:pPr>
        <w:numPr>
          <w:ilvl w:val="0"/>
          <w:numId w:val="1003"/>
        </w:numPr>
        <w:pStyle w:val="Compact"/>
      </w:pPr>
      <w:r>
        <w:t xml:space="preserve">Dezelfde Basketball Red-bies langs de naad van de padding.</w:t>
      </w:r>
    </w:p>
    <w:p>
      <w:pPr>
        <w:numPr>
          <w:ilvl w:val="0"/>
          <w:numId w:val="1003"/>
        </w:numPr>
        <w:pStyle w:val="Compact"/>
      </w:pPr>
      <w:r>
        <w:t xml:space="preserve">De springmat blijft zwart (functioneel materiaal).</w:t>
      </w:r>
    </w:p>
    <w:p>
      <w:pPr>
        <w:pStyle w:val="FirstParagraph"/>
      </w:pPr>
      <w:r>
        <w:rPr>
          <w:bCs/>
          <w:b/>
        </w:rPr>
        <w:t xml:space="preserve">Rebounder.</w:t>
      </w:r>
    </w:p>
    <w:p>
      <w:pPr>
        <w:numPr>
          <w:ilvl w:val="0"/>
          <w:numId w:val="1004"/>
        </w:numPr>
        <w:pStyle w:val="Compact"/>
      </w:pPr>
      <w:r>
        <w:t xml:space="preserve">Padding van het frame: van zwart naar Night Pitch Green.</w:t>
      </w:r>
    </w:p>
    <w:p>
      <w:pPr>
        <w:numPr>
          <w:ilvl w:val="0"/>
          <w:numId w:val="1004"/>
        </w:numPr>
        <w:pStyle w:val="Compact"/>
      </w:pPr>
      <w:r>
        <w:t xml:space="preserve">Bovenrand:</w:t>
      </w:r>
      <w:r>
        <w:t xml:space="preserve"> </w:t>
      </w:r>
      <w:r>
        <w:t xml:space="preserve">“</w:t>
      </w:r>
      <w:r>
        <w:t xml:space="preserve">OUTSIDE WINS.</w:t>
      </w:r>
      <w:r>
        <w:t xml:space="preserve">”</w:t>
      </w:r>
      <w:r>
        <w:t xml:space="preserve"> </w:t>
      </w:r>
      <w:r>
        <w:t xml:space="preserve">in TT Autonomous Bold Italic, hoofdletters, wit.</w:t>
      </w:r>
    </w:p>
    <w:p>
      <w:pPr>
        <w:numPr>
          <w:ilvl w:val="0"/>
          <w:numId w:val="1004"/>
        </w:numPr>
        <w:pStyle w:val="Compact"/>
      </w:pPr>
      <w:r>
        <w:t xml:space="preserve">Dezelfde Basketball Red-bies langs de bovenrand.</w:t>
      </w:r>
    </w:p>
    <w:p>
      <w:pPr>
        <w:numPr>
          <w:ilvl w:val="0"/>
          <w:numId w:val="1004"/>
        </w:numPr>
        <w:pStyle w:val="Compact"/>
      </w:pPr>
      <w:r>
        <w:t xml:space="preserve">Net en metalen onderstel blijven zwart.</w:t>
      </w:r>
    </w:p>
    <w:p>
      <w:pPr>
        <w:pStyle w:val="FirstParagraph"/>
      </w:pPr>
      <w:r>
        <w:t xml:space="preserve">Eén visueel signaal (de rode bies) over alle producten, niet per product iets nieuws bedenken.</w:t>
      </w:r>
    </w:p>
    <w:bookmarkEnd w:id="26"/>
    <w:bookmarkStart w:id="27" w:name="X93f6af1173771196bf06fcb5f257e2f104017c9"/>
    <w:p>
      <w:pPr>
        <w:pStyle w:val="Heading1"/>
      </w:pPr>
      <w:r>
        <w:t xml:space="preserve">Speeltoestellen-lijn: richting voor speelhuizen</w:t>
      </w:r>
    </w:p>
    <w:p>
      <w:pPr>
        <w:pStyle w:val="FirstParagraph"/>
      </w:pPr>
      <w:r>
        <w:t xml:space="preserve">Sturing gegeven vóór de inkoop. Dit is designrichting; elke nieuwe categorie wordt nog steeds getoetst op marge, logistiek en merk-fit.</w:t>
      </w:r>
    </w:p>
    <w:p>
      <w:pPr>
        <w:numPr>
          <w:ilvl w:val="0"/>
          <w:numId w:val="1005"/>
        </w:numPr>
        <w:pStyle w:val="Compact"/>
      </w:pPr>
      <w:r>
        <w:rPr>
          <w:bCs/>
          <w:b/>
        </w:rPr>
        <w:t xml:space="preserve">Materiaal en vorm:</w:t>
      </w:r>
      <w:r>
        <w:t xml:space="preserve"> </w:t>
      </w:r>
      <w:r>
        <w:t xml:space="preserve">hout of een houtlook, architecturaal en naturel. Een</w:t>
      </w:r>
      <w:r>
        <w:t xml:space="preserve"> </w:t>
      </w:r>
      <w:r>
        <w:t xml:space="preserve">“</w:t>
      </w:r>
      <w:r>
        <w:t xml:space="preserve">veilige burcht</w:t>
      </w:r>
      <w:r>
        <w:t xml:space="preserve">”</w:t>
      </w:r>
      <w:r>
        <w:t xml:space="preserve"> </w:t>
      </w:r>
      <w:r>
        <w:t xml:space="preserve">of boomhut. Geen felgekleurd gegoten kunststof. Dit is bewust het tegenovergestelde van de harde sport-esthetiek.</w:t>
      </w:r>
    </w:p>
    <w:p>
      <w:pPr>
        <w:numPr>
          <w:ilvl w:val="0"/>
          <w:numId w:val="1005"/>
        </w:numPr>
        <w:pStyle w:val="Compact"/>
      </w:pPr>
      <w:r>
        <w:rPr>
          <w:bCs/>
          <w:b/>
        </w:rPr>
        <w:t xml:space="preserve">Kleur:</w:t>
      </w:r>
      <w:r>
        <w:t xml:space="preserve"> </w:t>
      </w:r>
      <w:r>
        <w:t xml:space="preserve">de eerdere richting was wit/crème dominant met olijfgroen als structureel materiaal (deur, dakrand, kozijnen, luiken) en rood als klein signaaldetail (deurklink, naambordje). In het nieuwe palet wordt dat vertaald naar Beachball Volley Beige en Night Pitch Green als structureel materiaal. De verhoudingen worden nog bepaald met de brandmanager. Expliciet</w:t>
      </w:r>
      <w:r>
        <w:t xml:space="preserve"> </w:t>
      </w:r>
      <w:r>
        <w:rPr>
          <w:bCs/>
          <w:b/>
        </w:rPr>
        <w:t xml:space="preserve">niet</w:t>
      </w:r>
      <w:r>
        <w:t xml:space="preserve"> </w:t>
      </w:r>
      <w:r>
        <w:t xml:space="preserve">de felgroen-zwarte combinatie van Exit en Salta, en niet de kleurrijke plastic-look van Smoby.</w:t>
      </w:r>
    </w:p>
    <w:p>
      <w:pPr>
        <w:numPr>
          <w:ilvl w:val="0"/>
          <w:numId w:val="1005"/>
        </w:numPr>
        <w:pStyle w:val="Compact"/>
      </w:pPr>
      <w:r>
        <w:rPr>
          <w:bCs/>
          <w:b/>
        </w:rPr>
        <w:t xml:space="preserve">Logoplaatsing:</w:t>
      </w:r>
      <w:r>
        <w:t xml:space="preserve"> </w:t>
      </w:r>
      <w:r>
        <w:t xml:space="preserve">geen grote opdruk of sticker op de voorgevel. In plaats daarvan een klein fysiek plaatje (metaal of hout, het BLITS-schild) bij de deur of op een kozijn, zoals een naamplaatje op een tuinhuisje.</w:t>
      </w:r>
    </w:p>
    <w:p>
      <w:pPr>
        <w:numPr>
          <w:ilvl w:val="0"/>
          <w:numId w:val="1005"/>
        </w:numPr>
        <w:pStyle w:val="Compact"/>
      </w:pPr>
      <w:r>
        <w:rPr>
          <w:bCs/>
          <w:b/>
        </w:rPr>
        <w:t xml:space="preserve">Prijs:</w:t>
      </w:r>
      <w:r>
        <w:t xml:space="preserve"> </w:t>
      </w:r>
      <w:r>
        <w:t xml:space="preserve">geen koerswijziging: toegankelijk in prijs, premium in uitvoering.</w:t>
      </w:r>
    </w:p>
    <w:p>
      <w:pPr>
        <w:numPr>
          <w:ilvl w:val="0"/>
          <w:numId w:val="1005"/>
        </w:numPr>
        <w:pStyle w:val="Compact"/>
      </w:pPr>
      <w:r>
        <w:rPr>
          <w:bCs/>
          <w:b/>
        </w:rPr>
        <w:t xml:space="preserve">Fotografie:</w:t>
      </w:r>
      <w:r>
        <w:t xml:space="preserve"> </w:t>
      </w:r>
      <w:r>
        <w:t xml:space="preserve">het warme, Pinterest-geïnspireerde beeld (zie Huisstijl).</w:t>
      </w:r>
    </w:p>
    <w:bookmarkEnd w:id="27"/>
    <w:bookmarkStart w:id="28" w:name="fysieke-merktekens"/>
    <w:p>
      <w:pPr>
        <w:pStyle w:val="Heading1"/>
      </w:pPr>
      <w:r>
        <w:t xml:space="preserve">Fysieke merktekens</w:t>
      </w:r>
    </w:p>
    <w:p>
      <w:pPr>
        <w:pStyle w:val="FirstParagraph"/>
      </w:pPr>
      <w:r>
        <w:t xml:space="preserve">De merkziel zit niet alleen in tekst, maar in wat je aanraakt. Het volledige idee staat in het document met de heritage-verwijzingen. De prioritering:</w:t>
      </w:r>
    </w:p>
    <w:p>
      <w:pPr>
        <w:numPr>
          <w:ilvl w:val="0"/>
          <w:numId w:val="1006"/>
        </w:numPr>
        <w:pStyle w:val="Compact"/>
      </w:pPr>
      <w:r>
        <w:rPr>
          <w:bCs/>
          <w:b/>
        </w:rPr>
        <w:t xml:space="preserve">Nu (Tier 1):</w:t>
      </w:r>
      <w:r>
        <w:t xml:space="preserve"> </w:t>
      </w:r>
      <w:r>
        <w:t xml:space="preserve">het BLITS-schildplaatje (één gedeelde specificatie voor alle producten), het krijtbordje bij speelhuizen, en de Golden Goal-bies op doelen en trampolines.</w:t>
      </w:r>
    </w:p>
    <w:p>
      <w:pPr>
        <w:numPr>
          <w:ilvl w:val="0"/>
          <w:numId w:val="1006"/>
        </w:numPr>
        <w:pStyle w:val="Compact"/>
      </w:pPr>
      <w:r>
        <w:rPr>
          <w:bCs/>
          <w:b/>
        </w:rPr>
        <w:t xml:space="preserve">Daarna (Tier 2):</w:t>
      </w:r>
      <w:r>
        <w:t xml:space="preserve"> </w:t>
      </w:r>
      <w:r>
        <w:t xml:space="preserve">de Yard Bell (een messing bel als accessoire bij speeltoestellen), een gegraveerde stalen multitool in plaats van een wegwerp-inbussleuteltje, en het stoepkrijt-blikje.</w:t>
      </w:r>
    </w:p>
    <w:p>
      <w:pPr>
        <w:numPr>
          <w:ilvl w:val="0"/>
          <w:numId w:val="1006"/>
        </w:numPr>
        <w:pStyle w:val="Compact"/>
      </w:pPr>
      <w:r>
        <w:rPr>
          <w:bCs/>
          <w:b/>
        </w:rPr>
        <w:t xml:space="preserve">Geparkeerd (Tier 3):</w:t>
      </w:r>
      <w:r>
        <w:t xml:space="preserve"> </w:t>
      </w:r>
      <w:r>
        <w:t xml:space="preserve">Corner Cones, zoolprofiel in pedalen, Captain-patches, onderhoudsregister, schatvak en het eigendomscertificaat.</w:t>
      </w:r>
    </w:p>
    <w:p>
      <w:pPr>
        <w:pStyle w:val="FirstParagraph"/>
      </w:pPr>
      <w:r>
        <w:t xml:space="preserve">Voor de eerste productierun van speelhuizen geldt: neem de Tier 1-merktekens meteen mee, dat is goedkoper dan achteraf toevoegen. De haalbaarheid en kostprijs zijn nog niet getoetst.</w:t>
      </w:r>
    </w:p>
    <w:bookmarkEnd w:id="28"/>
    <w:bookmarkStart w:id="40" w:name="verpakkingsvoorstel"/>
    <w:p>
      <w:pPr>
        <w:pStyle w:val="Heading1"/>
      </w:pPr>
      <w:r>
        <w:t xml:space="preserve">Verpakkingsvoorstel</w:t>
      </w:r>
    </w:p>
    <w:p>
      <w:pPr>
        <w:pStyle w:val="FirstParagraph"/>
      </w:pPr>
      <w:r>
        <w:rPr>
          <w:bCs/>
          <w:b/>
        </w:rPr>
        <w:t xml:space="preserve">Status: voorstel.</w:t>
      </w:r>
      <w:r>
        <w:t xml:space="preserve"> </w:t>
      </w:r>
      <w:r>
        <w:t xml:space="preserve">Uitgangspunten zijn door Bart bevestigd (hieronder). De uitwerking moet door een designer worden gedaan.</w:t>
      </w:r>
    </w:p>
    <w:bookmarkStart w:id="29" w:name="strategie"/>
    <w:p>
      <w:pPr>
        <w:pStyle w:val="Heading2"/>
      </w:pPr>
      <w:r>
        <w:t xml:space="preserve">Strategie</w:t>
      </w:r>
    </w:p>
    <w:p>
      <w:pPr>
        <w:pStyle w:val="FirstParagraph"/>
      </w:pPr>
      <w:r>
        <w:t xml:space="preserve">De doos is het eerste fysieke moment van het merk en moet zeggen: dit is geen generiek private label. Eerlijk materiaal, één duidelijk kleurvlak, weinig tekst op de buitenkant. Het verhaal komt pas bij het openen. Bij aankomst: serieus gemaakt. Bij openen: dit is voor ons bedoeld. Daarna: outside wins.</w:t>
      </w:r>
    </w:p>
    <w:bookmarkEnd w:id="29"/>
    <w:bookmarkStart w:id="30" w:name="uitgangspunten-van-bart"/>
    <w:p>
      <w:pPr>
        <w:pStyle w:val="Heading2"/>
      </w:pPr>
      <w:r>
        <w:t xml:space="preserve">Uitgangspunten van Bart</w:t>
      </w:r>
    </w:p>
    <w:p>
      <w:pPr>
        <w:numPr>
          <w:ilvl w:val="0"/>
          <w:numId w:val="1007"/>
        </w:numPr>
        <w:pStyle w:val="Compact"/>
      </w:pPr>
      <w:r>
        <w:rPr>
          <w:bCs/>
          <w:b/>
        </w:rPr>
        <w:t xml:space="preserve">Kanaal:</w:t>
      </w:r>
      <w:r>
        <w:t xml:space="preserve"> </w:t>
      </w:r>
      <w:r>
        <w:t xml:space="preserve">webshop en dealers. Op termijn komen er dealers met schappen waar consumenten komen, dus er moeten ook dozen zijn die op het schap werken.</w:t>
      </w:r>
    </w:p>
    <w:p>
      <w:pPr>
        <w:numPr>
          <w:ilvl w:val="0"/>
          <w:numId w:val="1007"/>
        </w:numPr>
        <w:pStyle w:val="Compact"/>
      </w:pPr>
      <w:r>
        <w:rPr>
          <w:bCs/>
          <w:b/>
        </w:rPr>
        <w:t xml:space="preserve">Budget:</w:t>
      </w:r>
      <w:r>
        <w:t xml:space="preserve"> </w:t>
      </w:r>
      <w:r>
        <w:t xml:space="preserve">laag.</w:t>
      </w:r>
    </w:p>
    <w:p>
      <w:pPr>
        <w:numPr>
          <w:ilvl w:val="0"/>
          <w:numId w:val="1007"/>
        </w:numPr>
        <w:pStyle w:val="Compact"/>
      </w:pPr>
      <w:r>
        <w:rPr>
          <w:bCs/>
          <w:b/>
        </w:rPr>
        <w:t xml:space="preserve">Tekst op de doos:</w:t>
      </w:r>
      <w:r>
        <w:t xml:space="preserve"> </w:t>
      </w:r>
      <w:r>
        <w:t xml:space="preserve">een korte set, zie hieronder. Geen aparte compliance-ronde nodig.</w:t>
      </w:r>
    </w:p>
    <w:p>
      <w:pPr>
        <w:numPr>
          <w:ilvl w:val="0"/>
          <w:numId w:val="1007"/>
        </w:numPr>
        <w:pStyle w:val="Compact"/>
      </w:pPr>
      <w:r>
        <w:rPr>
          <w:bCs/>
          <w:b/>
        </w:rPr>
        <w:t xml:space="preserve">Kleur op kraft:</w:t>
      </w:r>
      <w:r>
        <w:t xml:space="preserve"> </w:t>
      </w:r>
      <w:r>
        <w:t xml:space="preserve">een drukproef op het echte kraft is nodig.</w:t>
      </w:r>
    </w:p>
    <w:bookmarkEnd w:id="30"/>
    <w:bookmarkStart w:id="31" w:name="structuur"/>
    <w:p>
      <w:pPr>
        <w:pStyle w:val="Heading2"/>
      </w:pPr>
      <w:r>
        <w:t xml:space="preserve">Structuur</w:t>
      </w:r>
    </w:p>
    <w:p>
      <w:pPr>
        <w:numPr>
          <w:ilvl w:val="0"/>
          <w:numId w:val="1008"/>
        </w:numPr>
        <w:pStyle w:val="Compact"/>
      </w:pPr>
      <w:r>
        <w:t xml:space="preserve">De primaire verpakking is ook de verzenddoos: ongebleekt kraftkarton, golfkarton op maat per product. Geen extra buitenverpakking.</w:t>
      </w:r>
    </w:p>
    <w:p>
      <w:pPr>
        <w:numPr>
          <w:ilvl w:val="0"/>
          <w:numId w:val="1008"/>
        </w:numPr>
        <w:pStyle w:val="Compact"/>
      </w:pPr>
      <w:r>
        <w:t xml:space="preserve">Eén zijpaneel krijgt een groot, vlak merkgebaar. Geen full-colour fotodoos met kinderen.</w:t>
      </w:r>
    </w:p>
    <w:p>
      <w:pPr>
        <w:numPr>
          <w:ilvl w:val="0"/>
          <w:numId w:val="1008"/>
        </w:numPr>
        <w:pStyle w:val="Compact"/>
      </w:pPr>
      <w:r>
        <w:t xml:space="preserve">Binnenin zo veel mogelijk kartonnen hoekbeschermers in plaats van plastic of schuim, en losse onderdelen per stap in genummerde zakken.</w:t>
      </w:r>
    </w:p>
    <w:p>
      <w:pPr>
        <w:numPr>
          <w:ilvl w:val="0"/>
          <w:numId w:val="1008"/>
        </w:numPr>
        <w:pStyle w:val="Compact"/>
      </w:pPr>
      <w:r>
        <w:t xml:space="preserve">Meerdelige producten (trampolines) hebben doosnummers (</w:t>
      </w:r>
      <w:r>
        <w:t xml:space="preserve">“</w:t>
      </w:r>
      <w:r>
        <w:t xml:space="preserve">1/4</w:t>
      </w:r>
      <w:r>
        <w:t xml:space="preserve">”</w:t>
      </w:r>
      <w:r>
        <w:t xml:space="preserve">), een duidelijke</w:t>
      </w:r>
      <w:r>
        <w:t xml:space="preserve"> </w:t>
      </w:r>
      <w:r>
        <w:t xml:space="preserve">“</w:t>
      </w:r>
      <w:r>
        <w:t xml:space="preserve">hoort bij</w:t>
      </w:r>
      <w:r>
        <w:t xml:space="preserve">”</w:t>
      </w:r>
      <w:r>
        <w:t xml:space="preserve">-regel, dezelfde productnaam op elke doos en tilsymbolen op de zware dozen.</w:t>
      </w:r>
    </w:p>
    <w:bookmarkEnd w:id="31"/>
    <w:bookmarkStart w:id="32" w:name="twee-uitvoeringen-op-één-systeem"/>
    <w:p>
      <w:pPr>
        <w:pStyle w:val="Heading2"/>
      </w:pPr>
      <w:r>
        <w:t xml:space="preserve">Twee uitvoeringen op één systeem</w:t>
      </w:r>
    </w:p>
    <w:p>
      <w:pPr>
        <w:numPr>
          <w:ilvl w:val="0"/>
          <w:numId w:val="1009"/>
        </w:numPr>
        <w:pStyle w:val="Compact"/>
      </w:pPr>
      <w:r>
        <w:rPr>
          <w:bCs/>
          <w:b/>
        </w:rPr>
        <w:t xml:space="preserve">Webshop-uitvoering (nu):</w:t>
      </w:r>
      <w:r>
        <w:t xml:space="preserve"> </w:t>
      </w:r>
      <w:r>
        <w:t xml:space="preserve">kraft, minimale print, laag budget.</w:t>
      </w:r>
    </w:p>
    <w:p>
      <w:pPr>
        <w:numPr>
          <w:ilvl w:val="0"/>
          <w:numId w:val="1009"/>
        </w:numPr>
        <w:pStyle w:val="Compact"/>
      </w:pPr>
      <w:r>
        <w:rPr>
          <w:bCs/>
          <w:b/>
        </w:rPr>
        <w:t xml:space="preserve">Schap-klaar-uitvoering (voor dealers):</w:t>
      </w:r>
      <w:r>
        <w:t xml:space="preserve"> </w:t>
      </w:r>
      <w:r>
        <w:t xml:space="preserve">dezelfde doos met een groot bedrukt wraplabel op het hoofdvlak. Dat label is van papier of folie op wit of Concrete Grey, in volle kleur (Soccer Green), met productnaam, een kleine lijntekening of foto, maat of leeftijd en het schildicoon. Zo is de kleur van het schapvlak controleerbaar en blijft de doos zelf goedkoop en gelijk voor beide kanalen. Een dealer kan dus ook gewoon de webshopdoos krijgen.</w:t>
      </w:r>
    </w:p>
    <w:bookmarkEnd w:id="32"/>
    <w:bookmarkStart w:id="33" w:name="kleur-op-de-doos"/>
    <w:p>
      <w:pPr>
        <w:pStyle w:val="Heading2"/>
      </w:pPr>
      <w:r>
        <w:t xml:space="preserve">Kleur op de doos</w:t>
      </w:r>
    </w:p>
    <w:p>
      <w:pPr>
        <w:pStyle w:val="FirstParagraph"/>
      </w:pPr>
      <w:r>
        <w:t xml:space="preserve">De verhoudingen per lijn zijn nog open (gebruiksregels met de brandmanager). Voorlopig:</w:t>
      </w:r>
    </w:p>
    <w:p>
      <w:pPr>
        <w:numPr>
          <w:ilvl w:val="0"/>
          <w:numId w:val="1010"/>
        </w:numPr>
        <w:pStyle w:val="Compact"/>
      </w:pPr>
      <w:r>
        <w:rPr>
          <w:bCs/>
          <w:b/>
        </w:rPr>
        <w:t xml:space="preserve">Night Pitch Green</w:t>
      </w:r>
      <w:r>
        <w:t xml:space="preserve"> </w:t>
      </w:r>
      <w:r>
        <w:t xml:space="preserve">direct op kraft drukken: donkere inkt werkt goed op kraft.</w:t>
      </w:r>
    </w:p>
    <w:p>
      <w:pPr>
        <w:numPr>
          <w:ilvl w:val="0"/>
          <w:numId w:val="1010"/>
        </w:numPr>
        <w:pStyle w:val="Compact"/>
      </w:pPr>
      <w:r>
        <w:rPr>
          <w:bCs/>
          <w:b/>
        </w:rPr>
        <w:t xml:space="preserve">Soccer Green niet direct op kraft drukken.</w:t>
      </w:r>
      <w:r>
        <w:t xml:space="preserve"> </w:t>
      </w:r>
      <w:r>
        <w:t xml:space="preserve">Kraft is bruin en niet-afdekkend, dus een heldere, lichte kleur wordt er donkerder en doffer op, tenzij er een witte onderdruk onder zit (extra kosten). Gebruik Soccer Green via tape en wraplabel op wit. Dit is algemene drukkennis, geen meting. De printer bevestigt met een</w:t>
      </w:r>
      <w:r>
        <w:t xml:space="preserve"> </w:t>
      </w:r>
      <w:r>
        <w:rPr>
          <w:bCs/>
          <w:b/>
        </w:rPr>
        <w:t xml:space="preserve">drukproef op het echte kraft</w:t>
      </w:r>
      <w:r>
        <w:t xml:space="preserve">, ook voor Basketball Red.</w:t>
      </w:r>
    </w:p>
    <w:p>
      <w:pPr>
        <w:numPr>
          <w:ilvl w:val="0"/>
          <w:numId w:val="1010"/>
        </w:numPr>
        <w:pStyle w:val="Compact"/>
      </w:pPr>
      <w:r>
        <w:rPr>
          <w:bCs/>
          <w:b/>
        </w:rPr>
        <w:t xml:space="preserve">Basketball Red</w:t>
      </w:r>
      <w:r>
        <w:t xml:space="preserve"> </w:t>
      </w:r>
      <w:r>
        <w:t xml:space="preserve">alleen als klein signaal: sticker, een regel, een verwijzing naar het schildplaatje.</w:t>
      </w:r>
    </w:p>
    <w:p>
      <w:pPr>
        <w:numPr>
          <w:ilvl w:val="0"/>
          <w:numId w:val="1010"/>
        </w:numPr>
        <w:pStyle w:val="Compact"/>
      </w:pPr>
      <w:r>
        <w:rPr>
          <w:bCs/>
          <w:b/>
        </w:rPr>
        <w:t xml:space="preserve">Sport-lijn:</w:t>
      </w:r>
      <w:r>
        <w:t xml:space="preserve"> </w:t>
      </w:r>
      <w:r>
        <w:t xml:space="preserve">kraft met Night Pitch Green en een Soccer Green-vlak.</w:t>
      </w:r>
      <w:r>
        <w:t xml:space="preserve"> </w:t>
      </w:r>
      <w:r>
        <w:rPr>
          <w:bCs/>
          <w:b/>
        </w:rPr>
        <w:t xml:space="preserve">Speeltoestellen-lijn:</w:t>
      </w:r>
      <w:r>
        <w:t xml:space="preserve"> </w:t>
      </w:r>
      <w:r>
        <w:t xml:space="preserve">een doos in Beachball Volley Beige (ligt dicht bij kraft) met Night Pitch Green, groen alleen als kleine band.</w:t>
      </w:r>
    </w:p>
    <w:p>
      <w:pPr>
        <w:numPr>
          <w:ilvl w:val="0"/>
          <w:numId w:val="1010"/>
        </w:numPr>
        <w:pStyle w:val="Compact"/>
      </w:pPr>
      <w:r>
        <w:rPr>
          <w:bCs/>
          <w:b/>
        </w:rPr>
        <w:t xml:space="preserve">Geen kleurcode per sport.</w:t>
      </w:r>
      <w:r>
        <w:t xml:space="preserve"> </w:t>
      </w:r>
      <w:r>
        <w:t xml:space="preserve">Varianten onderscheid je via tekst en maatlabel.</w:t>
      </w:r>
    </w:p>
    <w:bookmarkEnd w:id="33"/>
    <w:bookmarkStart w:id="34" w:name="typografie-op-de-doos"/>
    <w:p>
      <w:pPr>
        <w:pStyle w:val="Heading2"/>
      </w:pPr>
      <w:r>
        <w:t xml:space="preserve">Typografie op de doos</w:t>
      </w:r>
    </w:p>
    <w:p>
      <w:pPr>
        <w:numPr>
          <w:ilvl w:val="0"/>
          <w:numId w:val="1011"/>
        </w:numPr>
        <w:pStyle w:val="Compact"/>
      </w:pPr>
      <w:r>
        <w:t xml:space="preserve">Productnaam: TT Autonomous Bold Italic, hoofdletters, groot.</w:t>
      </w:r>
    </w:p>
    <w:p>
      <w:pPr>
        <w:numPr>
          <w:ilvl w:val="0"/>
          <w:numId w:val="1011"/>
        </w:numPr>
        <w:pStyle w:val="Compact"/>
      </w:pPr>
      <w:r>
        <w:t xml:space="preserve">Tagline (</w:t>
      </w:r>
      <w:r>
        <w:t xml:space="preserve">“</w:t>
      </w:r>
      <w:r>
        <w:t xml:space="preserve">Outside Wins.</w:t>
      </w:r>
      <w:r>
        <w:t xml:space="preserve">”</w:t>
      </w:r>
      <w:r>
        <w:t xml:space="preserve"> </w:t>
      </w:r>
      <w:r>
        <w:t xml:space="preserve">/</w:t>
      </w:r>
      <w:r>
        <w:t xml:space="preserve"> </w:t>
      </w:r>
      <w:r>
        <w:t xml:space="preserve">“</w:t>
      </w:r>
      <w:r>
        <w:t xml:space="preserve">Buiten wint.</w:t>
      </w:r>
      <w:r>
        <w:t xml:space="preserve">”</w:t>
      </w:r>
      <w:r>
        <w:t xml:space="preserve">): TT Autonomous Bold. Outline-italic alleen voor één accentwoord, niet op kleine tekst.</w:t>
      </w:r>
    </w:p>
    <w:p>
      <w:pPr>
        <w:numPr>
          <w:ilvl w:val="0"/>
          <w:numId w:val="1011"/>
        </w:numPr>
        <w:pStyle w:val="Compact"/>
      </w:pPr>
      <w:r>
        <w:t xml:space="preserve">Tekst, handleiding, wettelijke tekst: Archia Regular. Stapnummers in TT Autonomous Bold.</w:t>
      </w:r>
    </w:p>
    <w:bookmarkEnd w:id="34"/>
    <w:bookmarkStart w:id="35" w:name="wat-er-op-staat"/>
    <w:p>
      <w:pPr>
        <w:pStyle w:val="Heading2"/>
      </w:pPr>
      <w:r>
        <w:t xml:space="preserve">Wat er op staat</w:t>
      </w:r>
    </w:p>
    <w:p>
      <w:pPr>
        <w:pStyle w:val="FirstParagraph"/>
      </w:pPr>
      <w:r>
        <w:rPr>
          <w:bCs/>
          <w:b/>
        </w:rPr>
        <w:t xml:space="preserve">Voorvlak of hoofdvlak:</w:t>
      </w:r>
      <w:r>
        <w:t xml:space="preserve"> </w:t>
      </w:r>
      <w:r>
        <w:t xml:space="preserve">logo, productnaam, één regel claim of type (bijvoorbeeld</w:t>
      </w:r>
      <w:r>
        <w:t xml:space="preserve"> </w:t>
      </w:r>
      <w:r>
        <w:t xml:space="preserve">“</w:t>
      </w:r>
      <w:r>
        <w:t xml:space="preserve">Trampoline 305 x 213 cm</w:t>
      </w:r>
      <w:r>
        <w:t xml:space="preserve">”</w:t>
      </w:r>
      <w:r>
        <w:t xml:space="preserve">), eventueel een klein schildplaatje-icoon. Geen foto (behalve op het wraplabel).</w:t>
      </w:r>
    </w:p>
    <w:p>
      <w:pPr>
        <w:pStyle w:val="BodyText"/>
      </w:pPr>
      <w:r>
        <w:rPr>
          <w:bCs/>
          <w:b/>
        </w:rPr>
        <w:t xml:space="preserve">Achtervlak:</w:t>
      </w:r>
      <w:r>
        <w:t xml:space="preserve"> </w:t>
      </w:r>
      <w:r>
        <w:t xml:space="preserve">twee of drie korte feiten (materiaal, wat zit erin, leeftijds- en gewichtsgrens), een kleine lijntekening van het product en één korte merkregel (EN en NL).</w:t>
      </w:r>
    </w:p>
    <w:p>
      <w:pPr>
        <w:pStyle w:val="BodyText"/>
      </w:pPr>
      <w:r>
        <w:rPr>
          <w:bCs/>
          <w:b/>
        </w:rPr>
        <w:t xml:space="preserve">Zijpanelen:</w:t>
      </w:r>
      <w:r>
        <w:t xml:space="preserve"> </w:t>
      </w:r>
      <w:r>
        <w:t xml:space="preserve">de vaste set van Bart: CE-teken (bij doelen</w:t>
      </w:r>
      <w:r>
        <w:t xml:space="preserve"> </w:t>
      </w:r>
      <w:r>
        <w:t xml:space="preserve">“</w:t>
      </w:r>
      <w:r>
        <w:t xml:space="preserve">CE en EN 71</w:t>
      </w:r>
      <w:r>
        <w:t xml:space="preserve">”</w:t>
      </w:r>
      <w:r>
        <w:t xml:space="preserve">), breekbaar, tilsymbool bij zware dozen, EAN-barcode, gewicht en afmetingen, doosnummer, land van herkomst, contact en importeur, recyclepictogrammen. Taal: Engels hoofdtaal, Nederlands tweede.</w:t>
      </w:r>
    </w:p>
    <w:bookmarkEnd w:id="35"/>
    <w:bookmarkStart w:id="36" w:name="het-openen-vijf-lagen"/>
    <w:p>
      <w:pPr>
        <w:pStyle w:val="Heading2"/>
      </w:pPr>
      <w:r>
        <w:t xml:space="preserve">Het openen: vijf lagen</w:t>
      </w:r>
    </w:p>
    <w:p>
      <w:pPr>
        <w:numPr>
          <w:ilvl w:val="0"/>
          <w:numId w:val="1012"/>
        </w:numPr>
        <w:pStyle w:val="Compact"/>
      </w:pPr>
      <w:r>
        <w:rPr>
          <w:bCs/>
          <w:b/>
        </w:rPr>
        <w:t xml:space="preserve">Aankomst.</w:t>
      </w:r>
      <w:r>
        <w:t xml:space="preserve"> </w:t>
      </w:r>
      <w:r>
        <w:t xml:space="preserve">Kraftdoos met één groen gebaar. Voelt degelijk, niet als speelgoeddoos.</w:t>
      </w:r>
    </w:p>
    <w:p>
      <w:pPr>
        <w:numPr>
          <w:ilvl w:val="0"/>
          <w:numId w:val="1012"/>
        </w:numPr>
        <w:pStyle w:val="Compact"/>
      </w:pPr>
      <w:r>
        <w:rPr>
          <w:bCs/>
          <w:b/>
        </w:rPr>
        <w:t xml:space="preserve">Openen.</w:t>
      </w:r>
      <w:r>
        <w:t xml:space="preserve"> </w:t>
      </w:r>
      <w:r>
        <w:t xml:space="preserve">De binnenkant van de flap is bedrukt met één regel in Night Pitch Green:</w:t>
      </w:r>
      <w:r>
        <w:t xml:space="preserve"> </w:t>
      </w:r>
      <w:r>
        <w:t xml:space="preserve">“</w:t>
      </w:r>
      <w:r>
        <w:t xml:space="preserve">Now go outside.</w:t>
      </w:r>
      <w:r>
        <w:t xml:space="preserve">”</w:t>
      </w:r>
      <w:r>
        <w:t xml:space="preserve"> </w:t>
      </w:r>
      <w:r>
        <w:t xml:space="preserve">/</w:t>
      </w:r>
      <w:r>
        <w:t xml:space="preserve"> </w:t>
      </w:r>
      <w:r>
        <w:t xml:space="preserve">“</w:t>
      </w:r>
      <w:r>
        <w:t xml:space="preserve">Ga nu naar buiten.</w:t>
      </w:r>
      <w:r>
        <w:t xml:space="preserve">”</w:t>
      </w:r>
      <w:r>
        <w:t xml:space="preserve"> </w:t>
      </w:r>
      <w:r>
        <w:t xml:space="preserve">Geen extra gimmick.</w:t>
      </w:r>
    </w:p>
    <w:p>
      <w:pPr>
        <w:numPr>
          <w:ilvl w:val="0"/>
          <w:numId w:val="1012"/>
        </w:numPr>
        <w:pStyle w:val="Compact"/>
      </w:pPr>
      <w:r>
        <w:rPr>
          <w:bCs/>
          <w:b/>
        </w:rPr>
        <w:t xml:space="preserve">Product.</w:t>
      </w:r>
      <w:r>
        <w:t xml:space="preserve"> </w:t>
      </w:r>
      <w:r>
        <w:t xml:space="preserve">Netjes genest, onderdelen per stap gebundeld.</w:t>
      </w:r>
    </w:p>
    <w:p>
      <w:pPr>
        <w:numPr>
          <w:ilvl w:val="0"/>
          <w:numId w:val="1012"/>
        </w:numPr>
        <w:pStyle w:val="Compact"/>
      </w:pPr>
      <w:r>
        <w:rPr>
          <w:bCs/>
          <w:b/>
        </w:rPr>
        <w:t xml:space="preserve">Extra’s.</w:t>
      </w:r>
      <w:r>
        <w:t xml:space="preserve"> </w:t>
      </w:r>
      <w:r>
        <w:t xml:space="preserve">Een welkomstkaart (EN en NL) met de kernbelofte</w:t>
      </w:r>
      <w:r>
        <w:t xml:space="preserve"> </w:t>
      </w:r>
      <w:r>
        <w:rPr>
          <w:iCs/>
          <w:i/>
        </w:rPr>
        <w:t xml:space="preserve">BLITS gets kids outside, together, through every age and every fall</w:t>
      </w:r>
      <w:r>
        <w:t xml:space="preserve"> </w:t>
      </w:r>
      <w:r>
        <w:t xml:space="preserve">en uitleg over het BLITS-schildplaatje.</w:t>
      </w:r>
    </w:p>
    <w:p>
      <w:pPr>
        <w:numPr>
          <w:ilvl w:val="0"/>
          <w:numId w:val="1012"/>
        </w:numPr>
        <w:pStyle w:val="Compact"/>
      </w:pPr>
      <w:r>
        <w:rPr>
          <w:bCs/>
          <w:b/>
        </w:rPr>
        <w:t xml:space="preserve">Daarna.</w:t>
      </w:r>
      <w:r>
        <w:t xml:space="preserve"> </w:t>
      </w:r>
      <w:r>
        <w:t xml:space="preserve">De kartonnen doos is herbruikbaar. Geen speciaal keepsake-ontwerp nu.</w:t>
      </w:r>
    </w:p>
    <w:bookmarkEnd w:id="36"/>
    <w:bookmarkStart w:id="37" w:name="handleiding"/>
    <w:p>
      <w:pPr>
        <w:pStyle w:val="Heading2"/>
      </w:pPr>
      <w:r>
        <w:t xml:space="preserve">Handleiding</w:t>
      </w:r>
    </w:p>
    <w:p>
      <w:pPr>
        <w:pStyle w:val="FirstParagraph"/>
      </w:pPr>
      <w:r>
        <w:t xml:space="preserve">Een apart register: feitelijk, rustig, geen avontuur-, val- of winnen-taal. Stapnummers in TT Autonomous Bold, tekst in Archia, geen outline-italic.</w:t>
      </w:r>
    </w:p>
    <w:bookmarkEnd w:id="37"/>
    <w:bookmarkStart w:id="38" w:name="wat-anders-is-dan-de-categorie"/>
    <w:p>
      <w:pPr>
        <w:pStyle w:val="Heading2"/>
      </w:pPr>
      <w:r>
        <w:t xml:space="preserve">Wat anders is dan de categorie</w:t>
      </w:r>
    </w:p>
    <w:p>
      <w:pPr>
        <w:pStyle w:val="FirstParagraph"/>
      </w:pPr>
      <w:r>
        <w:t xml:space="preserve">Aanname, niet gecontroleerd: veel concurrenten gebruiken volledig bedrukte fotodozen. Dit voorstel kiest voor een rustige, materiaal-eerlijke doos. Dat past bij</w:t>
      </w:r>
      <w:r>
        <w:t xml:space="preserve"> </w:t>
      </w:r>
      <w:r>
        <w:t xml:space="preserve">“</w:t>
      </w:r>
      <w:r>
        <w:t xml:space="preserve">built to be used, not admired</w:t>
      </w:r>
      <w:r>
        <w:t xml:space="preserve">”</w:t>
      </w:r>
      <w:r>
        <w:t xml:space="preserve">, maar moet ook op het dealerschap opvallen. Leg een paar dozen van Exit, Berg en Salta naast een proefdruk om dat te toetsen.</w:t>
      </w:r>
    </w:p>
    <w:bookmarkEnd w:id="38"/>
    <w:bookmarkStart w:id="39" w:name="wat-niet-in-dit-voorstel-zit"/>
    <w:p>
      <w:pPr>
        <w:pStyle w:val="Heading2"/>
      </w:pPr>
      <w:r>
        <w:t xml:space="preserve">Wat niet in dit voorstel zit</w:t>
      </w:r>
    </w:p>
    <w:p>
      <w:pPr>
        <w:pStyle w:val="FirstParagraph"/>
      </w:pPr>
      <w:r>
        <w:t xml:space="preserve">De Tier 2- en Tier 3-merktekens, de kleurverhouding per lijn, fotografie en de website.</w:t>
      </w:r>
    </w:p>
    <w:bookmarkEnd w:id="39"/>
    <w:bookmarkEnd w:id="40"/>
    <w:bookmarkStart w:id="41" w:name="X10e4ad72cbd9f1ab0cb58c56604d20fe0374eb9"/>
    <w:p>
      <w:pPr>
        <w:pStyle w:val="Heading1"/>
      </w:pPr>
      <w:r>
        <w:t xml:space="preserve">Wat een verpakkingsdesigner nog nodig heeft</w:t>
      </w:r>
    </w:p>
    <w:p>
      <w:pPr>
        <w:numPr>
          <w:ilvl w:val="0"/>
          <w:numId w:val="1013"/>
        </w:numPr>
        <w:pStyle w:val="Compact"/>
      </w:pPr>
      <w:r>
        <w:rPr>
          <w:bCs/>
          <w:b/>
        </w:rPr>
        <w:t xml:space="preserve">De doosmaten en uitslagen (dielines)</w:t>
      </w:r>
      <w:r>
        <w:t xml:space="preserve"> </w:t>
      </w:r>
      <w:r>
        <w:t xml:space="preserve">van de leverancier, per doos. Voor trampolines en veerhoezen zijn de maten bekend; voor doelen, basketbalpalen, rebounders en speelhuizen niet.</w:t>
      </w:r>
    </w:p>
    <w:p>
      <w:pPr>
        <w:numPr>
          <w:ilvl w:val="0"/>
          <w:numId w:val="1013"/>
        </w:numPr>
        <w:pStyle w:val="Compact"/>
      </w:pPr>
      <w:r>
        <w:rPr>
          <w:bCs/>
          <w:b/>
        </w:rPr>
        <w:t xml:space="preserve">De drukspecificaties van de leverancier:</w:t>
      </w:r>
      <w:r>
        <w:t xml:space="preserve"> </w:t>
      </w:r>
      <w:r>
        <w:t xml:space="preserve">drukmethode, aantal kleuren, minimale oplage, en of de leverancier labels of tape kan leveren. En een kraftmonster voor een proefdruk.</w:t>
      </w:r>
    </w:p>
    <w:p>
      <w:pPr>
        <w:numPr>
          <w:ilvl w:val="0"/>
          <w:numId w:val="1013"/>
        </w:numPr>
        <w:pStyle w:val="Compact"/>
      </w:pPr>
      <w:r>
        <w:rPr>
          <w:bCs/>
          <w:b/>
        </w:rPr>
        <w:t xml:space="preserve">Een vectorlogo</w:t>
      </w:r>
      <w:r>
        <w:t xml:space="preserve"> </w:t>
      </w:r>
      <w:r>
        <w:t xml:space="preserve">met kleurvarianten in het nieuwe palet en de lockups.</w:t>
      </w:r>
    </w:p>
    <w:p>
      <w:pPr>
        <w:numPr>
          <w:ilvl w:val="0"/>
          <w:numId w:val="1013"/>
        </w:numPr>
        <w:pStyle w:val="Compact"/>
      </w:pPr>
      <w:r>
        <w:rPr>
          <w:bCs/>
          <w:b/>
        </w:rPr>
        <w:t xml:space="preserve">De fontbestanden</w:t>
      </w:r>
      <w:r>
        <w:t xml:space="preserve"> </w:t>
      </w:r>
      <w:r>
        <w:t xml:space="preserve">voor TT Autonomous en Archia.</w:t>
      </w:r>
    </w:p>
    <w:p>
      <w:pPr>
        <w:numPr>
          <w:ilvl w:val="0"/>
          <w:numId w:val="1013"/>
        </w:numPr>
        <w:pStyle w:val="Compact"/>
      </w:pPr>
      <w:r>
        <w:rPr>
          <w:bCs/>
          <w:b/>
        </w:rPr>
        <w:t xml:space="preserve">De gebruiksregels voor kleur</w:t>
      </w:r>
      <w:r>
        <w:t xml:space="preserve"> </w:t>
      </w:r>
      <w:r>
        <w:t xml:space="preserve">(Bart en de brandmanager).</w:t>
      </w:r>
    </w:p>
    <w:p>
      <w:pPr>
        <w:numPr>
          <w:ilvl w:val="0"/>
          <w:numId w:val="1013"/>
        </w:numPr>
        <w:pStyle w:val="Compact"/>
      </w:pPr>
      <w:r>
        <w:rPr>
          <w:bCs/>
          <w:b/>
        </w:rPr>
        <w:t xml:space="preserve">Pantone-, CMYK- en RGB-waarden</w:t>
      </w:r>
      <w:r>
        <w:t xml:space="preserve"> </w:t>
      </w:r>
      <w:r>
        <w:t xml:space="preserve">voor de kleuren die op de doos komen.</w:t>
      </w:r>
    </w:p>
    <w:p>
      <w:pPr>
        <w:numPr>
          <w:ilvl w:val="0"/>
          <w:numId w:val="1013"/>
        </w:numPr>
        <w:pStyle w:val="Compact"/>
      </w:pPr>
      <w:r>
        <w:rPr>
          <w:bCs/>
          <w:b/>
        </w:rPr>
        <w:t xml:space="preserve">Een copypakket</w:t>
      </w:r>
      <w:r>
        <w:t xml:space="preserve"> </w:t>
      </w:r>
      <w:r>
        <w:t xml:space="preserve">per product in het Engels en Nederlands: productnaam, één regel claim, de tekst voor de flap, de welkomstkaart en de vaste teksten.</w:t>
      </w:r>
    </w:p>
    <w:p>
      <w:pPr>
        <w:numPr>
          <w:ilvl w:val="0"/>
          <w:numId w:val="1013"/>
        </w:numPr>
        <w:pStyle w:val="Compact"/>
      </w:pPr>
      <w:r>
        <w:rPr>
          <w:bCs/>
          <w:b/>
        </w:rPr>
        <w:t xml:space="preserve">De deadline van de leverancier.</w:t>
      </w:r>
      <w:r>
        <w:t xml:space="preserve"> </w:t>
      </w:r>
      <w:r>
        <w:t xml:space="preserve">De containerplanning voor 2027 staat als afgerond met een deadline van 15 november 2026. De vraag is wanneer het drukwerk van de dozen definitief moet zijn.</w:t>
      </w:r>
    </w:p>
    <w:p>
      <w:pPr>
        <w:numPr>
          <w:ilvl w:val="0"/>
          <w:numId w:val="1013"/>
        </w:numPr>
        <w:pStyle w:val="Compact"/>
      </w:pPr>
      <w:r>
        <w:rPr>
          <w:bCs/>
          <w:b/>
        </w:rPr>
        <w:t xml:space="preserve">Wat dealers nodig hebben op het schap:</w:t>
      </w:r>
      <w:r>
        <w:t xml:space="preserve"> </w:t>
      </w:r>
      <w:r>
        <w:t xml:space="preserve">barcodepositie, staand of liggend presenteren, en of een label in de fabriek of in het eigen magazijn wordt aangebracht.</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06150E"/>
        <w:sz w:val="21"/>
        <w:szCs w:val="21"/>
        <w:lang w:bidi="ar-SA" w:eastAsia="nl-NL" w:val="nl-NL"/>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60" w:before="0"/>
      <w:jc w:val="center"/>
    </w:pPr>
    <w:rPr>
      <w:rFonts w:ascii="Arial" w:cs="Arial" w:hAnsi="Arial"/>
      <w:b/>
      <w:bCs/>
      <w:color w:val="06150E"/>
      <w:sz w:val="52"/>
      <w:szCs w:val="52"/>
    </w:rPr>
  </w:style>
  <w:style w:styleId="Subtitle" w:type="paragraph">
    <w:name w:val="Subtitle"/>
    <w:basedOn w:val="Title"/>
    <w:next w:val="BodyText"/>
    <w:qFormat/>
    <w:pPr>
      <w:keepNext/>
      <w:keepLines/>
      <w:spacing w:after="200" w:before="0"/>
      <w:jc w:val="center"/>
    </w:pPr>
    <w:rPr>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09CD66" w:space="4" w:sz="12" w:val="single"/>
      </w:pBdr>
      <w:keepLines/>
      <w:spacing w:after="140" w:before="420"/>
      <w:outlineLvl w:val="0"/>
    </w:pPr>
    <w:rPr>
      <w:rFonts w:ascii="Arial" w:cs="Arial" w:hAnsi="Arial"/>
      <w:b/>
      <w:bCs/>
      <w:color w:val="06150E"/>
      <w:sz w:val="34"/>
      <w:szCs w:val="34"/>
    </w:rPr>
  </w:style>
  <w:style w:styleId="Heading2" w:type="paragraph">
    <w:name w:val="Heading 2"/>
    <w:basedOn w:val="Normal"/>
    <w:next w:val="BodyText"/>
    <w:uiPriority w:val="9"/>
    <w:unhideWhenUsed/>
    <w:qFormat/>
    <w:pPr>
      <w:keepNext/>
      <w:keepLines/>
      <w:spacing w:after="100" w:before="300"/>
      <w:outlineLvl w:val="1"/>
    </w:pPr>
    <w:rPr>
      <w:rFonts w:ascii="Arial" w:cs="Arial" w:hAnsi="Arial"/>
      <w:b/>
      <w:bCs/>
      <w:color w:val="06150E"/>
      <w:sz w:val="26"/>
      <w:szCs w:val="26"/>
    </w:rPr>
  </w:style>
  <w:style w:styleId="Heading3" w:type="paragraph">
    <w:name w:val="Heading 3"/>
    <w:basedOn w:val="Normal"/>
    <w:next w:val="BodyText"/>
    <w:uiPriority w:val="9"/>
    <w:unhideWhenUsed/>
    <w:qFormat/>
    <w:pPr>
      <w:keepNext/>
      <w:keepLines/>
      <w:spacing w:after="80" w:before="220"/>
      <w:outlineLvl w:val="2"/>
    </w:pPr>
    <w:rPr>
      <w:rFonts w:ascii="Arial" w:cs="Arial" w:hAnsi="Arial"/>
      <w:b/>
      <w:bCs/>
      <w:color w:val="4B5D53"/>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09CD66" w:space="10" w:sz="24" w:val="single"/>
      </w:pBdr>
      <w:shd w:color="auto" w:fill="F0F4F1" w:val="clear"/>
      <w:spacing w:after="140" w:before="140"/>
      <w:ind w:left="360" w:right="24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6150E" w:space="0" w:sz="6" w:val="single"/>
        <w:bottom w:color="06150E" w:space="0" w:sz="6" w:val="single"/>
        <w:insideH w:color="C9D1CC" w:space="0" w:sz="4" w:val="single"/>
      </w:tblBorders>
      <w:tblInd w:type="dxa" w:w="0"/>
      <w:tblCellMar>
        <w:top w:type="dxa" w:w="70"/>
        <w:left w:type="dxa" w:w="108"/>
        <w:bottom w:type="dxa" w:w="70"/>
        <w:right w:type="dxa" w:w="108"/>
      </w:tblCellMar>
    </w:tblPr>
    <w:tblStylePr w:type="firstRow">
      <w:rPr>
        <w:b/>
        <w:color w:val="FFFFFF"/>
      </w:rPr>
      <w:tcPr>
        <w:shd w:color="auto" w:fill="06150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BLITS Producten en verpakking</dc:title>
  <dc:creator/>
  <cp:keywords/>
  <dcterms:created xsi:type="dcterms:W3CDTF">2026-10-14T12:04:25Z</dcterms:created>
  <dcterms:modified xsi:type="dcterms:W3CDTF">2026-10-14T12:04:25Z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14 oktober 2026</vt:lpwstr>
  </property>
  <property fmtid="{D5CDD505-2E9C-101B-9397-08002B2CF9AE}" pid="3" name="subtitle">
    <vt:lpwstr>Assortiment, productrichting, fysieke merktekens en verpakkingsvoorstel</vt:lpwstr>
  </property>
</Properties>
</file>