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BLITS</w:t>
      </w:r>
      <w:r>
        <w:t xml:space="preserve"> </w:t>
      </w:r>
      <w:r>
        <w:t xml:space="preserve">Overdracht</w:t>
      </w:r>
    </w:p>
    <w:p>
      <w:pPr>
        <w:pStyle w:val="Subtitle"/>
      </w:pPr>
      <w:r>
        <w:t xml:space="preserve">Stand</w:t>
      </w:r>
      <w:r>
        <w:t xml:space="preserve"> </w:t>
      </w:r>
      <w:r>
        <w:t xml:space="preserve">van</w:t>
      </w:r>
      <w:r>
        <w:t xml:space="preserve"> </w:t>
      </w:r>
      <w:r>
        <w:t xml:space="preserve">zaken,</w:t>
      </w:r>
      <w:r>
        <w:t xml:space="preserve"> </w:t>
      </w:r>
      <w:r>
        <w:t xml:space="preserve">besluiten</w:t>
      </w:r>
      <w:r>
        <w:t xml:space="preserve"> </w:t>
      </w:r>
      <w:r>
        <w:t xml:space="preserve">en</w:t>
      </w:r>
      <w:r>
        <w:t xml:space="preserve"> </w:t>
      </w:r>
      <w:r>
        <w:t xml:space="preserve">wat</w:t>
      </w:r>
      <w:r>
        <w:t xml:space="preserve"> </w:t>
      </w:r>
      <w:r>
        <w:t xml:space="preserve">er</w:t>
      </w:r>
      <w:r>
        <w:t xml:space="preserve"> </w:t>
      </w:r>
      <w:r>
        <w:t xml:space="preserve">nog</w:t>
      </w:r>
      <w:r>
        <w:t xml:space="preserve"> </w:t>
      </w:r>
      <w:r>
        <w:t xml:space="preserve">openstaat</w:t>
      </w:r>
    </w:p>
    <w:p>
      <w:pPr>
        <w:pStyle w:val="Date"/>
      </w:pPr>
      <w:r>
        <w:t xml:space="preserve">Stand</w:t>
      </w:r>
      <w:r>
        <w:t xml:space="preserve"> </w:t>
      </w:r>
      <w:r>
        <w:t xml:space="preserve">12</w:t>
      </w:r>
      <w:r>
        <w:t xml:space="preserve"> </w:t>
      </w:r>
      <w:r>
        <w:t xml:space="preserve">oktober</w:t>
      </w:r>
      <w:r>
        <w:t xml:space="preserve"> </w:t>
      </w:r>
      <w:r>
        <w:t xml:space="preserve">2026</w:t>
      </w:r>
    </w:p>
    <w:bookmarkStart w:id="20" w:name="waar-dit-document-voor-is"/>
    <w:p>
      <w:pPr>
        <w:pStyle w:val="Heading1"/>
      </w:pPr>
      <w:r>
        <w:t xml:space="preserve">Waar dit document voor is</w:t>
      </w:r>
    </w:p>
    <w:p>
      <w:pPr>
        <w:pStyle w:val="FirstParagraph"/>
      </w:pPr>
      <w:r>
        <w:t xml:space="preserve">Bart draagt het BLITS-merkwerk over aan de brandmanager. Dit is het startdocument: wat er staat, wat besloten is, wat verouderd is en wat nog moet gebeuren. De inhoud staat in de andere documenten uit dit pakket. Lees dit eerst.</w:t>
      </w:r>
    </w:p>
    <w:p>
      <w:pPr>
        <w:pStyle w:val="BodyText"/>
      </w:pPr>
      <w:r>
        <w:t xml:space="preserve">De kennis komt uit de BLITS-kennisbank in GitHub (</w:t>
      </w:r>
      <w:r>
        <w:rPr>
          <w:rStyle w:val="VerbatimChar"/>
        </w:rPr>
        <w:t xml:space="preserve">bartschilten/brand-building</w:t>
      </w:r>
      <w:r>
        <w:t xml:space="preserve">, hoofdpagina</w:t>
      </w:r>
      <w:r>
        <w:t xml:space="preserve"> </w:t>
      </w:r>
      <w:r>
        <w:rPr>
          <w:rStyle w:val="VerbatimChar"/>
        </w:rPr>
        <w:t xml:space="preserve">wiki/brands/blits.md</w:t>
      </w:r>
      <w:r>
        <w:t xml:space="preserve">). Cijfers, targets en fase zijn de verantwoordelijkheid van de Toppy-kennisbank (</w:t>
      </w:r>
      <w:r>
        <w:rPr>
          <w:rStyle w:val="VerbatimChar"/>
        </w:rPr>
        <w:t xml:space="preserve">bartschilten/kennisbank</w:t>
      </w:r>
      <w:r>
        <w:t xml:space="preserve">); als de twee verschillen, is die leidend.</w:t>
      </w:r>
    </w:p>
    <w:bookmarkEnd w:id="20"/>
    <w:bookmarkStart w:id="21" w:name="de-documenten-in-dit-pakket"/>
    <w:p>
      <w:pPr>
        <w:pStyle w:val="Heading1"/>
      </w:pPr>
      <w:r>
        <w:t xml:space="preserve">De documenten in dit pakket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86"/>
        <w:gridCol w:w="3090"/>
        <w:gridCol w:w="44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 erin staat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Overdracht (dit document)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Stand, besluiten, open punten, volgende stappen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Merkfundament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Reden van bestaan, positionering, vijand, doelgroep, persona’s, merkverhaal, spelregels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Huisstijl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Kleuren, lettertypes, logo en tagline, fotografie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Webelementen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Ontwerpelementen en blokken voor de website, vertaald uit de heritage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Producten en verpakking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Assortiment, productrichting, fysieke merktekens, verpakkingsvoorstel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Tone of 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Aangeleverd door Bart (apart document)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Verwijzingen naar vroeger (heritage)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Aangeleverd door Bart (apart document)</w:t>
            </w:r>
          </w:p>
        </w:tc>
      </w:tr>
    </w:tbl>
    <w:p>
      <w:pPr>
        <w:pStyle w:val="BodyText"/>
      </w:pPr>
      <w:r>
        <w:t xml:space="preserve">Documenten 2 tot en met 5 zijn samengesteld uit de kennisbank en gelden per 12 oktober 2026.</w:t>
      </w:r>
    </w:p>
    <w:bookmarkEnd w:id="21"/>
    <w:bookmarkStart w:id="22" w:name="waar-staat-blits-nu"/>
    <w:p>
      <w:pPr>
        <w:pStyle w:val="Heading1"/>
      </w:pPr>
      <w:r>
        <w:t xml:space="preserve">Waar staat BLITS nu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90"/>
        <w:gridCol w:w="48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Onderdeel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Reden van bestaan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Definitief (5 oktober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Positionering, vijand, doelgroep, persona’s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Vastgesteld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Merkarchitectuur (één merk, twee lijnen)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Vastgesteld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Tagline</w:t>
            </w:r>
            <w:r>
              <w:t xml:space="preserve"> </w:t>
            </w:r>
            <w:r>
              <w:t xml:space="preserve">“</w:t>
            </w:r>
            <w:r>
              <w:t xml:space="preserve">Buiten wint.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Outside Wins.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Merkverhaal en messaging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Vastgesteld (10 oktober)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Tone of 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Vastgesteld (10 oktober); aanspreekvorm Engels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Heritage en fysieke merktekens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Voorgesteld; prioritering vastgesteld, haalbaarheid en kostprijs niet getoetst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Kleurenpalet en lettertypes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Nieuw en vastgesteld (12 oktober)</w:t>
            </w:r>
            <w:r>
              <w:t xml:space="preserve">: de huisstijl-PDF’s van Bart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Gebruiksregels voor kleur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</w:t>
            </w:r>
            <w:r>
              <w:t xml:space="preserve">: Bart met de brandmanager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Vectorisatie en kleurvarianten in het nieuwe palet</w:t>
            </w:r>
            <w:r>
              <w:t xml:space="preserve"> </w:t>
            </w:r>
            <w:r>
              <w:rPr>
                <w:bCs/>
                <w:b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Webelementen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Voorstel; keuzes via het keuzebord nog te maken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Verpakking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Voorstel; uitgangspunten bevestigd, uitwerking door een designer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Sport-lijn productrebrand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Voorstel op het nieuwe palet, niet visueel gecheckt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Speeltoestellen-lijn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Designrichting vastgesteld; speelhuizen-inkoop nog te doen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Fotografie sport-lijn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Nog niet opgestart</w:t>
            </w:r>
          </w:p>
        </w:tc>
      </w:tr>
    </w:tbl>
    <w:bookmarkEnd w:id="22"/>
    <w:bookmarkStart w:id="23" w:name="belangrijkste-besluiten"/>
    <w:p>
      <w:pPr>
        <w:pStyle w:val="Heading1"/>
      </w:pPr>
      <w:r>
        <w:t xml:space="preserve">Belangrijkste besluiten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65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Besluit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 sept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Prijs en persoonlijkheid: toegankelijk in prijs, premium in uitvoering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 sept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Eén merk, twee lijnen. Merkbrede en lijn-specifieke vijand. Tagline</w:t>
            </w:r>
            <w:r>
              <w:t xml:space="preserve"> </w:t>
            </w:r>
            <w:r>
              <w:t xml:space="preserve">“</w:t>
            </w:r>
            <w:r>
              <w:t xml:space="preserve">Buiten wint.</w:t>
            </w:r>
            <w:r>
              <w:t xml:space="preserve">”</w:t>
            </w:r>
            <w:r>
              <w:t xml:space="preserve"> </w:t>
            </w:r>
            <w:r>
              <w:t xml:space="preserve">Geen kleurcode per sport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okt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Reden van bestaan definitief. Engelse tagline</w:t>
            </w:r>
            <w:r>
              <w:t xml:space="preserve"> </w:t>
            </w:r>
            <w:r>
              <w:t xml:space="preserve">“</w:t>
            </w:r>
            <w:r>
              <w:t xml:space="preserve">Outside Wins.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okt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Neo-heritage als extra ontwerplaag: fysieke merktekens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okt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Tone of voice, merkverhaal, persona’s, prioritering van de merktekens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okt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Nieuw palet en fonts. Night Pitch Green vervangt Tarmac Black en het olijfgroen. Beachball Volley Beige bewust. Uitgangspunten verpakking (kanaal, budget, tekst, drukproef)</w:t>
            </w:r>
          </w:p>
        </w:tc>
      </w:tr>
    </w:tbl>
    <w:bookmarkEnd w:id="23"/>
    <w:bookmarkStart w:id="24" w:name="wat-is-verouderd"/>
    <w:p>
      <w:pPr>
        <w:pStyle w:val="Heading1"/>
      </w:pPr>
      <w:r>
        <w:t xml:space="preserve">Wat is verouderd</w:t>
      </w:r>
    </w:p>
    <w:p>
      <w:pPr>
        <w:pStyle w:val="FirstParagraph"/>
      </w:pPr>
      <w:r>
        <w:t xml:space="preserve">Deze materialen bevatten nog het</w:t>
      </w:r>
      <w:r>
        <w:t xml:space="preserve"> </w:t>
      </w:r>
      <w:r>
        <w:rPr>
          <w:bCs/>
          <w:b/>
        </w:rPr>
        <w:t xml:space="preserve">oude palet</w:t>
      </w:r>
      <w:r>
        <w:t xml:space="preserve"> </w:t>
      </w:r>
      <w:r>
        <w:t xml:space="preserve">(koraalrood, diep olijfgroen, wit/crème, neongeel) en/of de oude lettertypes (Archivo Black, Outfit, Kalam). Gebruik ze niet als bron voor kleur of typografie:</w:t>
      </w:r>
    </w:p>
    <w:p>
      <w:pPr>
        <w:numPr>
          <w:ilvl w:val="0"/>
          <w:numId w:val="1001"/>
        </w:numPr>
        <w:pStyle w:val="Compact"/>
      </w:pPr>
      <w:r>
        <w:t xml:space="preserve">De Word-merkgids van 10 oktober 2026.</w:t>
      </w:r>
    </w:p>
    <w:p>
      <w:pPr>
        <w:numPr>
          <w:ilvl w:val="0"/>
          <w:numId w:val="1001"/>
        </w:numPr>
        <w:pStyle w:val="Compact"/>
      </w:pPr>
      <w:r>
        <w:t xml:space="preserve">De logo-briefing voor de externe designer.</w:t>
      </w:r>
    </w:p>
    <w:p>
      <w:pPr>
        <w:numPr>
          <w:ilvl w:val="0"/>
          <w:numId w:val="1001"/>
        </w:numPr>
        <w:pStyle w:val="Compact"/>
      </w:pPr>
      <w:r>
        <w:t xml:space="preserve">De Nano Banana-prompts voor de sport-lijn (voetbaldoel, trampoline, rebounder).</w:t>
      </w:r>
    </w:p>
    <w:p>
      <w:pPr>
        <w:numPr>
          <w:ilvl w:val="0"/>
          <w:numId w:val="1001"/>
        </w:numPr>
        <w:pStyle w:val="Compact"/>
      </w:pPr>
      <w:r>
        <w:t xml:space="preserve">Het eerdere verpakkingsvoorstel van 10 oktober.</w:t>
      </w:r>
    </w:p>
    <w:p>
      <w:pPr>
        <w:numPr>
          <w:ilvl w:val="0"/>
          <w:numId w:val="1001"/>
        </w:numPr>
        <w:pStyle w:val="Compact"/>
      </w:pPr>
      <w:r>
        <w:t xml:space="preserve">Het visuele merkcanvas (Artifact) met de borden Overzicht, Kleur, Typografie en Logo.</w:t>
      </w:r>
    </w:p>
    <w:p>
      <w:pPr>
        <w:numPr>
          <w:ilvl w:val="0"/>
          <w:numId w:val="1001"/>
        </w:numPr>
        <w:pStyle w:val="Compact"/>
      </w:pPr>
      <w:r>
        <w:t xml:space="preserve">De websiteschets uit maart 2025 (bevat ook</w:t>
      </w:r>
      <w:r>
        <w:t xml:space="preserve"> </w:t>
      </w:r>
      <w:r>
        <w:t xml:space="preserve">“</w:t>
      </w:r>
      <w:r>
        <w:t xml:space="preserve">strijders</w:t>
      </w:r>
      <w:r>
        <w:t xml:space="preserve">”</w:t>
      </w:r>
      <w:r>
        <w:t xml:space="preserve"> </w:t>
      </w:r>
      <w:r>
        <w:t xml:space="preserve">en</w:t>
      </w:r>
      <w:r>
        <w:t xml:space="preserve"> </w:t>
      </w:r>
      <w:r>
        <w:t xml:space="preserve">“</w:t>
      </w:r>
      <w:r>
        <w:t xml:space="preserve">Play more</w:t>
      </w:r>
      <w:r>
        <w:t xml:space="preserve">”</w:t>
      </w:r>
      <w:r>
        <w:t xml:space="preserve">, beide geschrapt).</w:t>
      </w:r>
    </w:p>
    <w:p>
      <w:pPr>
        <w:pStyle w:val="FirstParagraph"/>
      </w:pPr>
      <w:r>
        <w:t xml:space="preserve">De documenten in dit pakket zijn bedoeld ter vervanging van de Word-merkgids.</w:t>
      </w:r>
    </w:p>
    <w:bookmarkEnd w:id="24"/>
    <w:bookmarkStart w:id="25" w:name="open-beslissingen-voor-bart"/>
    <w:p>
      <w:pPr>
        <w:pStyle w:val="Heading1"/>
      </w:pPr>
      <w:r>
        <w:t xml:space="preserve">Open beslissingen voor Bart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Toon:</w:t>
      </w:r>
      <w:r>
        <w:t xml:space="preserve"> </w:t>
      </w:r>
      <w:r>
        <w:t xml:space="preserve">mag</w:t>
      </w:r>
      <w:r>
        <w:t xml:space="preserve"> </w:t>
      </w:r>
      <w:r>
        <w:t xml:space="preserve">“</w:t>
      </w:r>
      <w:r>
        <w:t xml:space="preserve">Laatste doelpunt wint</w:t>
      </w:r>
      <w:r>
        <w:t xml:space="preserve">”</w:t>
      </w:r>
      <w:r>
        <w:t xml:space="preserve"> </w:t>
      </w:r>
      <w:r>
        <w:t xml:space="preserve">blijven, als ritueel van samen spelen tot het donker is? Het ligt dicht tegen winnen-taal aan, terwijl kinderen niet tegen elkaar worden uitgespeeld.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Handschrift:</w:t>
      </w:r>
      <w:r>
        <w:t xml:space="preserve"> </w:t>
      </w:r>
      <w:r>
        <w:t xml:space="preserve">komt er een handschriftlettertype als accent, nu Kalam is vervallen? Of worden krijtelementen alleen illustraties?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Afgesneden hoek:</w:t>
      </w:r>
      <w:r>
        <w:t xml:space="preserve"> </w:t>
      </w:r>
      <w:r>
        <w:t xml:space="preserve">is de uitgesneden hoek van de kleurvlakken in de PDF een bewuste merkvorm?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Aanspreekvorm in het Engels:</w:t>
      </w:r>
      <w:r>
        <w:t xml:space="preserve"> </w:t>
      </w:r>
      <w:r>
        <w:t xml:space="preserve">“</w:t>
      </w:r>
      <w:r>
        <w:t xml:space="preserve">you</w:t>
      </w:r>
      <w:r>
        <w:t xml:space="preserve">”</w:t>
      </w:r>
      <w:r>
        <w:t xml:space="preserve"> </w:t>
      </w:r>
      <w:r>
        <w:t xml:space="preserve">voelt mogelijk wijzend aan.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 metafoor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vuile knieën zijn medailles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blijft die, of wordt hij vervangen?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Twee onduidelijke merknamen</w:t>
      </w:r>
      <w:r>
        <w:t xml:space="preserve"> </w:t>
      </w:r>
      <w:r>
        <w:t xml:space="preserve">bij de bewonderde merken: spelling navragen.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Keuzes in het keuzebord:</w:t>
      </w:r>
      <w:r>
        <w:t xml:space="preserve"> </w:t>
      </w:r>
      <w:r>
        <w:t xml:space="preserve">kaart, knoppen, achtergrond, scheidingslijn, zegel, iconen, beweging en de acht verwijzingen naar vroeger.</w:t>
      </w:r>
    </w:p>
    <w:bookmarkEnd w:id="25"/>
    <w:bookmarkStart w:id="28" w:name="wat-er-nu-moet-gebeuren"/>
    <w:p>
      <w:pPr>
        <w:pStyle w:val="Heading1"/>
      </w:pPr>
      <w:r>
        <w:t xml:space="preserve">Wat er nu moet gebeuren</w:t>
      </w:r>
    </w:p>
    <w:bookmarkStart w:id="26" w:name="eerst-afhankelijkheden-voor-de-designers"/>
    <w:p>
      <w:pPr>
        <w:pStyle w:val="Heading2"/>
      </w:pPr>
      <w:r>
        <w:t xml:space="preserve">Eerst: afhankelijkheden voor de designers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Leverancier: deadline en uitslagen.</w:t>
      </w:r>
      <w:r>
        <w:t xml:space="preserve"> </w:t>
      </w:r>
      <w:r>
        <w:t xml:space="preserve">De deadline voor het drukwerk van de dozen en de uitslagen (dielines) met drukspecificaties. De containerplanning voor 2027 staat als afgerond met een deadline van 15 november 2026.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Gebruiksregels voor kleur</w:t>
      </w:r>
      <w:r>
        <w:t xml:space="preserve"> </w:t>
      </w:r>
      <w:r>
        <w:t xml:space="preserve">vastleggen (Bart en de brandmanager).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Logo vectoriseren</w:t>
      </w:r>
      <w:r>
        <w:t xml:space="preserve"> </w:t>
      </w:r>
      <w:r>
        <w:t xml:space="preserve">met kleurvarianten in het nieuwe palet en de lockups, en Pantone-, CMYK- en RGB-waarden voor de negen kleuren. De logo-briefing moet eerst worden bijgewerkt.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Fontbestanden</w:t>
      </w:r>
      <w:r>
        <w:t xml:space="preserve"> </w:t>
      </w:r>
      <w:r>
        <w:t xml:space="preserve">TT Autonomous en Archia aan de designers geven (de licentie is gecheckt).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Doosmaten</w:t>
      </w:r>
      <w:r>
        <w:t xml:space="preserve"> </w:t>
      </w:r>
      <w:r>
        <w:t xml:space="preserve">van doelen, basketbalpalen, rebounders en speelhuizen aanleveren.</w:t>
      </w:r>
    </w:p>
    <w:bookmarkEnd w:id="26"/>
    <w:bookmarkStart w:id="27" w:name="daarna-de-uitrol"/>
    <w:p>
      <w:pPr>
        <w:pStyle w:val="Heading2"/>
      </w:pPr>
      <w:r>
        <w:t xml:space="preserve">Daarna: de uitrol</w:t>
      </w:r>
    </w:p>
    <w:p>
      <w:pPr>
        <w:pStyle w:val="FirstParagraph"/>
      </w:pPr>
      <w:r>
        <w:t xml:space="preserve">De uitrol heeft drie fasen. Fase 1, het fundament, is afgerond.</w:t>
      </w:r>
    </w:p>
    <w:p>
      <w:pPr>
        <w:pStyle w:val="BodyText"/>
      </w:pPr>
      <w:r>
        <w:rPr>
          <w:bCs/>
          <w:b/>
        </w:rPr>
        <w:t xml:space="preserve">Fase 2B: speeltoestellen-lijn (urgent).</w:t>
      </w:r>
      <w:r>
        <w:t xml:space="preserve"> </w:t>
      </w:r>
      <w:r>
        <w:t xml:space="preserve">Valt samen met de speelhuizen-inkoop, die al een natuurlijke deadline heeft. Zo kan de lijn meteen met de nieuwe identiteit starten, zonder oude verpakking of fotografie om te vervangen. Eerstvolgende stappen:</w:t>
      </w:r>
    </w:p>
    <w:p>
      <w:pPr>
        <w:numPr>
          <w:ilvl w:val="0"/>
          <w:numId w:val="1004"/>
        </w:numPr>
        <w:pStyle w:val="Compact"/>
      </w:pPr>
      <w:r>
        <w:t xml:space="preserve">Speelhuis-opties beoordelen tegen de designrichting en de merk-fit-toets, voordat er wordt ingekocht.</w:t>
      </w:r>
    </w:p>
    <w:p>
      <w:pPr>
        <w:numPr>
          <w:ilvl w:val="0"/>
          <w:numId w:val="1004"/>
        </w:numPr>
        <w:pStyle w:val="Compact"/>
      </w:pPr>
      <w:r>
        <w:t xml:space="preserve">Vragen aan de leverancier of de merktekens van Tier 1 (schildplaatje, krijtbordje) in de eerste productierun passen.</w:t>
      </w:r>
    </w:p>
    <w:p>
      <w:pPr>
        <w:numPr>
          <w:ilvl w:val="0"/>
          <w:numId w:val="1004"/>
        </w:numPr>
        <w:pStyle w:val="Compact"/>
      </w:pPr>
      <w:r>
        <w:t xml:space="preserve">De verpakkingsrichting bevestigen.</w:t>
      </w:r>
    </w:p>
    <w:p>
      <w:pPr>
        <w:numPr>
          <w:ilvl w:val="0"/>
          <w:numId w:val="1004"/>
        </w:numPr>
        <w:pStyle w:val="Compact"/>
      </w:pPr>
      <w:r>
        <w:t xml:space="preserve">Fotografie volgens de Pinterest-richting.</w:t>
      </w:r>
    </w:p>
    <w:p>
      <w:pPr>
        <w:pStyle w:val="FirstParagraph"/>
      </w:pPr>
      <w:r>
        <w:rPr>
          <w:bCs/>
          <w:b/>
        </w:rPr>
        <w:t xml:space="preserve">Fase 2A: rebrand van de sport-lijn.</w:t>
      </w:r>
      <w:r>
        <w:t xml:space="preserve"> </w:t>
      </w:r>
      <w:r>
        <w:t xml:space="preserve">Bestaande producten (doelen, palen, trampolines, rebounders) over op de nieuwe identiteit, vóór het voorjaars-hoofdmoment. Stappen: productrichting op het nieuwe palet visueel checken, nieuwe fotografie (nog niet opgestart; eerst een fotografiebriefing), verpakking vervangen, website- en webshopteksten herschrijven met de tone of voice als basis.</w:t>
      </w:r>
    </w:p>
    <w:p>
      <w:pPr>
        <w:pStyle w:val="BodyText"/>
      </w:pPr>
      <w:r>
        <w:rPr>
          <w:bCs/>
          <w:b/>
        </w:rPr>
        <w:t xml:space="preserve">Fase 3: contentcadans per persona.</w:t>
      </w:r>
      <w:r>
        <w:t xml:space="preserve"> </w:t>
      </w:r>
      <w:r>
        <w:t xml:space="preserve">Actieve ouder (Instagram en YouTube, specificaties en reviews). Esthetische ouder (Pinterest en Instagram, sfeerbeelden). Dealer (vakbeurzen en directe sales). Nog op hoofdlijnen.</w:t>
      </w:r>
    </w:p>
    <w:p>
      <w:pPr>
        <w:pStyle w:val="BodyText"/>
      </w:pPr>
      <w:r>
        <w:rPr>
          <w:bCs/>
          <w:b/>
        </w:rPr>
        <w:t xml:space="preserve">Risico:</w:t>
      </w:r>
      <w:r>
        <w:t xml:space="preserve"> </w:t>
      </w:r>
      <w:r>
        <w:t xml:space="preserve">2A en 2B tegelijk zonder genoeg capaciteit verwatert beide. Prioriteer 2B als er gekozen moet worden.</w:t>
      </w:r>
    </w:p>
    <w:bookmarkEnd w:id="27"/>
    <w:bookmarkEnd w:id="28"/>
    <w:bookmarkStart w:id="29" w:name="wie-doet-wat"/>
    <w:p>
      <w:pPr>
        <w:pStyle w:val="Heading1"/>
      </w:pPr>
      <w:r>
        <w:t xml:space="preserve">Wie doet wat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760"/>
        <w:gridCol w:w="6160"/>
      </w:tblGrid>
      <w:tr>
        <w:tc>
          <w:tcPr/>
          <w:p>
            <w:pPr>
              <w:pStyle w:val="Compact"/>
              <w:jc w:val="left"/>
            </w:pPr>
            <w:r>
              <w:t xml:space="preserve">Bart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Beslissingen in dit document, bevestiging van het keuzebord, contact met leveranciers over merktekens en dozen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Gebruiksregels voor kleur, regie op de designers, verdere uitwerking van de website- en verpakkingsbriefing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Logo, verpakking, website: vanuit de documenten 2 tot en met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Merkcanvas en design system (storybook uit GitHub) voor de designers</w:t>
            </w:r>
          </w:p>
        </w:tc>
      </w:tr>
    </w:tbl>
    <w:bookmarkEnd w:id="29"/>
    <w:bookmarkStart w:id="30" w:name="waar-vind-je-meer"/>
    <w:p>
      <w:pPr>
        <w:pStyle w:val="Heading1"/>
      </w:pPr>
      <w:r>
        <w:t xml:space="preserve">Waar vind je meer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Kennisbank:</w:t>
      </w:r>
      <w:r>
        <w:t xml:space="preserve"> </w:t>
      </w:r>
      <w:r>
        <w:t xml:space="preserve">GitHub</w:t>
      </w:r>
      <w:r>
        <w:t xml:space="preserve"> </w:t>
      </w:r>
      <w:r>
        <w:rPr>
          <w:rStyle w:val="VerbatimChar"/>
        </w:rPr>
        <w:t xml:space="preserve">bartschilten/brand-building</w:t>
      </w:r>
      <w:r>
        <w:t xml:space="preserve">. Begin bij</w:t>
      </w:r>
      <w:r>
        <w:t xml:space="preserve"> </w:t>
      </w:r>
      <w:r>
        <w:rPr>
          <w:rStyle w:val="VerbatimChar"/>
        </w:rPr>
        <w:t xml:space="preserve">hot.md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index.md</w:t>
      </w:r>
      <w:r>
        <w:t xml:space="preserve">; de volledige BLITS-pagina staat op</w:t>
      </w:r>
      <w:r>
        <w:t xml:space="preserve"> </w:t>
      </w:r>
      <w:r>
        <w:rPr>
          <w:rStyle w:val="VerbatimChar"/>
        </w:rPr>
        <w:t xml:space="preserve">wiki/brands/blits.md</w:t>
      </w:r>
      <w:r>
        <w:t xml:space="preserve">. Per besluit is er een pagina in</w:t>
      </w:r>
      <w:r>
        <w:t xml:space="preserve"> </w:t>
      </w:r>
      <w:r>
        <w:rPr>
          <w:rStyle w:val="VerbatimChar"/>
        </w:rPr>
        <w:t xml:space="preserve">wiki/decisions/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Keuzebord:</w:t>
      </w:r>
      <w:r>
        <w:t xml:space="preserve"> </w:t>
      </w:r>
      <w:r>
        <w:t xml:space="preserve">https://claude.ai/artifact/WMMQPpQpHfAA7S5Mhe4uKK (privé; Bart moet het delen).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Intern document uit 2024:</w:t>
      </w:r>
      <w:r>
        <w:t xml:space="preserve"> </w:t>
      </w:r>
      <w:r>
        <w:t xml:space="preserve">“</w:t>
      </w:r>
      <w:r>
        <w:t xml:space="preserve">Wie is BLITS?</w:t>
      </w:r>
      <w:r>
        <w:t xml:space="preserve">”</w:t>
      </w:r>
      <w:r>
        <w:t xml:space="preserve"> </w:t>
      </w:r>
      <w:r>
        <w:t xml:space="preserve">in Google Drive. De voorloper van de reden van bestaan, met de oorspronkelijke missie, visie en USP’s.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Leverancier:</w:t>
      </w:r>
      <w:r>
        <w:t xml:space="preserve"> </w:t>
      </w:r>
      <w:r>
        <w:t xml:space="preserve">de offertesheet</w:t>
      </w:r>
      <w:r>
        <w:t xml:space="preserve"> </w:t>
      </w:r>
      <w:r>
        <w:t xml:space="preserve">“</w:t>
      </w:r>
      <w:r>
        <w:t xml:space="preserve">Quote request BLITS - Toppy 2027</w:t>
      </w:r>
      <w:r>
        <w:t xml:space="preserve">”</w:t>
      </w:r>
      <w:r>
        <w:t xml:space="preserve"> </w:t>
      </w:r>
      <w:r>
        <w:t xml:space="preserve">in Google Drive, met doosmaten en gewichten van trampolines en veerhoezen.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Overleg met Wouter van 1 oktober 2026</w:t>
      </w:r>
      <w:r>
        <w:t xml:space="preserve"> </w:t>
      </w:r>
      <w:r>
        <w:t xml:space="preserve">(merkcanvas, storybook en beeldgenerator, met Woo als blauwdruk).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color w:val="06150E"/>
        <w:sz w:val="21"/>
        <w:szCs w:val="21"/>
        <w:lang w:bidi="ar-SA" w:eastAsia="nl-NL" w:val="nl-NL"/>
      </w:rPr>
    </w:rPrDefault>
    <w:pPrDefault>
      <w:pPr>
        <w:spacing w:after="120" w:line="288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60" w:before="0"/>
      <w:jc w:val="center"/>
    </w:pPr>
    <w:rPr>
      <w:rFonts w:ascii="Arial" w:cs="Arial" w:hAnsi="Arial"/>
      <w:b/>
      <w:bCs/>
      <w:color w:val="06150E"/>
      <w:sz w:val="52"/>
      <w:szCs w:val="52"/>
    </w:rPr>
  </w:style>
  <w:style w:styleId="Subtitle" w:type="paragraph">
    <w:name w:val="Subtitle"/>
    <w:basedOn w:val="Title"/>
    <w:next w:val="BodyText"/>
    <w:qFormat/>
    <w:pPr>
      <w:keepNext/>
      <w:keepLines/>
      <w:spacing w:after="200" w:before="0"/>
      <w:jc w:val="center"/>
    </w:pPr>
    <w:rPr>
      <w:sz w:val="26"/>
      <w:szCs w:val="26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pBdr>
        <w:bottom w:color="09CD66" w:space="4" w:sz="12" w:val="single"/>
      </w:pBdr>
      <w:keepLines/>
      <w:spacing w:after="140" w:before="420"/>
      <w:outlineLvl w:val="0"/>
    </w:pPr>
    <w:rPr>
      <w:rFonts w:ascii="Arial" w:cs="Arial" w:hAnsi="Arial"/>
      <w:b/>
      <w:bCs/>
      <w:color w:val="06150E"/>
      <w:sz w:val="34"/>
      <w:szCs w:val="3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300"/>
      <w:outlineLvl w:val="1"/>
    </w:pPr>
    <w:rPr>
      <w:rFonts w:ascii="Arial" w:cs="Arial" w:hAnsi="Arial"/>
      <w:b/>
      <w:bCs/>
      <w:color w:val="06150E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20"/>
      <w:outlineLvl w:val="2"/>
    </w:pPr>
    <w:rPr>
      <w:rFonts w:ascii="Arial" w:cs="Arial" w:hAnsi="Arial"/>
      <w:b/>
      <w:bCs/>
      <w:color w:val="4B5D53"/>
      <w:sz w:val="22"/>
      <w:szCs w:val="22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09CD66" w:space="10" w:sz="24" w:val="single"/>
      </w:pBdr>
      <w:shd w:color="auto" w:fill="F0F4F1" w:val="clear"/>
      <w:spacing w:after="140" w:before="140"/>
      <w:ind w:left="360" w:right="24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06150E" w:space="0" w:sz="6" w:val="single"/>
        <w:bottom w:color="06150E" w:space="0" w:sz="6" w:val="single"/>
        <w:insideH w:color="C9D1CC" w:space="0" w:sz="4" w:val="single"/>
      </w:tblBorders>
      <w:tblInd w:type="dxa" w:w="0"/>
      <w:tblCellMar>
        <w:top w:type="dxa" w:w="70"/>
        <w:left w:type="dxa" w:w="108"/>
        <w:bottom w:type="dxa" w:w="70"/>
        <w:right w:type="dxa" w:w="108"/>
      </w:tblCellMar>
    </w:tblPr>
    <w:tblStylePr w:type="firstRow">
      <w:rPr>
        <w:b/>
        <w:color w:val="FFFFFF"/>
      </w:rPr>
      <w:tcPr>
        <w:shd w:color="auto" w:fill="06150E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BLITS Overdracht</dc:title>
  <dc:creator/>
  <cp:keywords/>
  <dcterms:created xsi:type="dcterms:W3CDTF">2026-10-12T17:30:41Z</dcterms:created>
  <dcterms:modified xsi:type="dcterms:W3CDTF">2026-10-12T17:30:41Z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Stand 12 oktober 2026</vt:lpwstr>
  </property>
  <property fmtid="{D5CDD505-2E9C-101B-9397-08002B2CF9AE}" pid="3" name="subtitle">
    <vt:lpwstr>Stand van zaken, besluiten en wat er nog openstaat</vt:lpwstr>
  </property>
</Properties>
</file>