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right"/>
        <w:bidi w:val="1"/>
      </w:pPr>
      <w:r>
        <w:rPr>
          <w:rFonts w:ascii="Arial" w:hAnsi="Arial" w:cs="Arial"/>
          <w:b/>
          <w:color w:val="0B2545"/>
          <w:sz w:val="44"/>
          <w:rtl w:val="1"/>
        </w:rPr>
        <w:t>تقرير التقدم الشهري لتطوير نظام ERP</w:t>
      </w:r>
    </w:p>
    <w:p>
      <w:pPr>
        <w:spacing w:after="280"/>
        <w:jc w:val="right"/>
        <w:bidi w:val="1"/>
      </w:pPr>
      <w:r>
        <w:rPr>
          <w:rFonts w:ascii="Arial" w:hAnsi="Arial" w:cs="Arial"/>
          <w:b/>
          <w:color w:val="555555"/>
          <w:sz w:val="24"/>
          <w:rtl w:val="1"/>
        </w:rPr>
        <w:t>الفترة: 29 مايو 2026 - 28 يونيو 2026</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1800"/>
        <w:gridCol w:w="7560"/>
      </w:tblGrid>
      <w:tr>
        <w:tc>
          <w:tcPr>
            <w:tcW w:type="dxa" w:w="1800"/>
            <w:vAlign w:val="center"/>
            <w:shd w:fill="F2F4F7"/>
          </w:tcPr>
          <w:p>
            <w:pPr>
              <w:spacing w:after="0"/>
              <w:jc w:val="right"/>
              <w:bidi w:val="1"/>
            </w:pPr>
            <w:r>
              <w:rPr>
                <w:rFonts w:ascii="Arial" w:hAnsi="Arial" w:cs="Arial"/>
                <w:b/>
                <w:color w:val="0B2545"/>
                <w:sz w:val="21"/>
                <w:rtl w:val="1"/>
              </w:rPr>
              <w:t>الموضوع</w:t>
            </w:r>
          </w:p>
        </w:tc>
        <w:tc>
          <w:tcPr>
            <w:tcW w:type="dxa" w:w="7560"/>
            <w:vAlign w:val="center"/>
            <w:shd w:fill="F2F4F7"/>
          </w:tcPr>
          <w:p>
            <w:pPr>
              <w:spacing w:after="0"/>
              <w:jc w:val="right"/>
              <w:bidi w:val="1"/>
            </w:pPr>
            <w:r>
              <w:rPr>
                <w:rFonts w:ascii="Arial" w:hAnsi="Arial" w:cs="Arial"/>
                <w:b w:val="0"/>
                <w:color w:val="0B2545"/>
                <w:sz w:val="21"/>
                <w:rtl w:val="1"/>
              </w:rPr>
              <w:t>ملخص الأعمال المنجزة خلال الشهر الماضي</w:t>
            </w:r>
          </w:p>
        </w:tc>
      </w:tr>
      <w:tr>
        <w:tc>
          <w:tcPr>
            <w:tcW w:type="dxa" w:w="1800"/>
            <w:vAlign w:val="center"/>
          </w:tcPr>
          <w:p>
            <w:pPr>
              <w:spacing w:after="0"/>
              <w:jc w:val="right"/>
              <w:bidi w:val="1"/>
            </w:pPr>
            <w:r>
              <w:rPr>
                <w:rFonts w:ascii="Arial" w:hAnsi="Arial" w:cs="Arial"/>
                <w:b/>
                <w:color w:val="0B2545"/>
                <w:sz w:val="21"/>
                <w:rtl w:val="1"/>
              </w:rPr>
              <w:t>موجه إلى</w:t>
            </w:r>
          </w:p>
        </w:tc>
        <w:tc>
          <w:tcPr>
            <w:tcW w:type="dxa" w:w="7560"/>
            <w:vAlign w:val="center"/>
          </w:tcPr>
          <w:p>
            <w:pPr>
              <w:spacing w:after="0"/>
              <w:jc w:val="right"/>
              <w:bidi w:val="1"/>
            </w:pPr>
            <w:r>
              <w:rPr>
                <w:rFonts w:ascii="Arial" w:hAnsi="Arial" w:cs="Arial"/>
                <w:b w:val="0"/>
                <w:color w:val="0B2545"/>
                <w:sz w:val="21"/>
                <w:rtl w:val="1"/>
              </w:rPr>
              <w:t>الإدارة العليا</w:t>
            </w:r>
          </w:p>
        </w:tc>
      </w:tr>
      <w:tr>
        <w:tc>
          <w:tcPr>
            <w:tcW w:type="dxa" w:w="1800"/>
            <w:vAlign w:val="center"/>
          </w:tcPr>
          <w:p>
            <w:pPr>
              <w:spacing w:after="0"/>
              <w:jc w:val="right"/>
              <w:bidi w:val="1"/>
            </w:pPr>
            <w:r>
              <w:rPr>
                <w:rFonts w:ascii="Arial" w:hAnsi="Arial" w:cs="Arial"/>
                <w:b/>
                <w:color w:val="0B2545"/>
                <w:sz w:val="21"/>
                <w:rtl w:val="1"/>
              </w:rPr>
              <w:t>النطاق</w:t>
            </w:r>
          </w:p>
        </w:tc>
        <w:tc>
          <w:tcPr>
            <w:tcW w:type="dxa" w:w="7560"/>
            <w:vAlign w:val="center"/>
          </w:tcPr>
          <w:p>
            <w:pPr>
              <w:spacing w:after="0"/>
              <w:jc w:val="right"/>
              <w:bidi w:val="1"/>
            </w:pPr>
            <w:r>
              <w:rPr>
                <w:rFonts w:ascii="Arial" w:hAnsi="Arial" w:cs="Arial"/>
                <w:b w:val="0"/>
                <w:color w:val="0B2545"/>
                <w:sz w:val="21"/>
                <w:rtl w:val="1"/>
              </w:rPr>
              <w:t>المحاسبة، الموارد البشرية، والحزمة الأوسع من أعمال نظام ERP</w:t>
            </w:r>
          </w:p>
        </w:tc>
      </w:tr>
      <w:tr>
        <w:tc>
          <w:tcPr>
            <w:tcW w:type="dxa" w:w="1800"/>
            <w:vAlign w:val="center"/>
          </w:tcPr>
          <w:p>
            <w:pPr>
              <w:spacing w:after="0"/>
              <w:jc w:val="right"/>
              <w:bidi w:val="1"/>
            </w:pPr>
            <w:r>
              <w:rPr>
                <w:rFonts w:ascii="Arial" w:hAnsi="Arial" w:cs="Arial"/>
                <w:b/>
                <w:color w:val="0B2545"/>
                <w:sz w:val="21"/>
                <w:rtl w:val="1"/>
              </w:rPr>
              <w:t>الحالة</w:t>
            </w:r>
          </w:p>
        </w:tc>
        <w:tc>
          <w:tcPr>
            <w:tcW w:type="dxa" w:w="7560"/>
            <w:vAlign w:val="center"/>
          </w:tcPr>
          <w:p>
            <w:pPr>
              <w:spacing w:after="0"/>
              <w:jc w:val="right"/>
              <w:bidi w:val="1"/>
            </w:pPr>
            <w:r>
              <w:rPr>
                <w:rFonts w:ascii="Arial" w:hAnsi="Arial" w:cs="Arial"/>
                <w:b w:val="0"/>
                <w:color w:val="0B2545"/>
                <w:sz w:val="21"/>
                <w:rtl w:val="1"/>
              </w:rPr>
              <w:t>منجزات مطورة ومهيأة للاختبار، التحسين، والاعتماد التشغيلي</w:t>
            </w:r>
          </w:p>
        </w:tc>
      </w:tr>
    </w:tbl>
    <w:p/>
    <w:p>
      <w:pPr>
        <w:pStyle w:val="Heading1"/>
        <w:spacing w:before="320" w:after="160" w:line="264" w:lineRule="auto"/>
        <w:jc w:val="right"/>
        <w:bidi w:val="1"/>
      </w:pPr>
      <w:r>
        <w:rPr>
          <w:rFonts w:ascii="Arial" w:hAnsi="Arial" w:cs="Arial"/>
          <w:b/>
          <w:color w:val="2E74B5"/>
          <w:sz w:val="32"/>
          <w:rtl w:val="1"/>
        </w:rPr>
        <w:t>أولاً: الملخص التنفيذي</w:t>
      </w:r>
    </w:p>
    <w:p>
      <w:pPr>
        <w:spacing w:before="0" w:after="120" w:line="264" w:lineRule="auto"/>
        <w:jc w:val="right"/>
        <w:bidi w:val="1"/>
      </w:pPr>
      <w:r>
        <w:rPr>
          <w:rFonts w:ascii="Arial" w:hAnsi="Arial" w:cs="Arial"/>
          <w:b w:val="0"/>
          <w:color w:val="0B2545"/>
          <w:sz w:val="22"/>
          <w:rtl w:val="1"/>
        </w:rPr>
        <w:t>خلال الفترة من 29 مايو 2026 إلى 28 يونيو 2026، تم تحقيق تقدم كبير في منصة ERP، مع تركيز واضح على المحاسبة، الموارد البشرية، الحضور والانصراف، الإجازات، الرواتب، والتحكم التشغيلي حسب الفروع والشركات.</w:t>
      </w:r>
    </w:p>
    <w:p>
      <w:pPr>
        <w:spacing w:before="0" w:after="120" w:line="264" w:lineRule="auto"/>
        <w:jc w:val="right"/>
        <w:bidi w:val="1"/>
      </w:pPr>
      <w:r>
        <w:rPr>
          <w:rFonts w:ascii="Arial" w:hAnsi="Arial" w:cs="Arial"/>
          <w:b w:val="0"/>
          <w:color w:val="0B2545"/>
          <w:sz w:val="22"/>
          <w:rtl w:val="1"/>
        </w:rPr>
        <w:t>ساهمت الأعمال المنجزة في رفع جاهزية النظام كمنصة مؤسسية متكاملة، من خلال تحسين الضوابط المالية، أتمتة عمليات الموارد البشرية، توسيع workflows التشغيلية، وتحديث تجربة المستخدم بما يدعم الاستخدام اليومي داخل الإدارات.</w:t>
      </w:r>
    </w:p>
    <w:p>
      <w:pPr>
        <w:spacing w:before="0" w:after="120" w:line="264" w:lineRule="auto"/>
        <w:jc w:val="right"/>
        <w:bidi w:val="1"/>
      </w:pPr>
      <w:r>
        <w:rPr>
          <w:rFonts w:ascii="Arial" w:hAnsi="Arial" w:cs="Arial"/>
          <w:b w:val="0"/>
          <w:color w:val="0B2545"/>
          <w:sz w:val="22"/>
          <w:rtl w:val="1"/>
        </w:rPr>
        <w:t>تم تعزيز المحاسبة من خلال تطوير شجرة الحسابات، قوالب المحاسبة، المحاسبة المنفصلة حسب الفروع، القيود والإقفالات، حسابات النقد والبنوك، الضرائب وتجهيزات ZATCA، والتقارير. كما تم تعزيز الموارد البشرية عبر تحسين الإجازات، الحضور، الرواتب، سجلات الموظفين، العقود، القروض، الموافقات، والتقارير.</w:t>
      </w:r>
    </w:p>
    <w:p>
      <w:pPr>
        <w:spacing w:before="0" w:after="120" w:line="264" w:lineRule="auto"/>
        <w:jc w:val="right"/>
        <w:bidi w:val="1"/>
      </w:pPr>
      <w:r>
        <w:rPr>
          <w:rFonts w:ascii="Arial" w:hAnsi="Arial" w:cs="Arial"/>
          <w:b w:val="0"/>
          <w:color w:val="0B2545"/>
          <w:sz w:val="22"/>
          <w:rtl w:val="1"/>
        </w:rPr>
        <w:t>إلى جانب ذلك، تم توسيع العمل في المتاجر ونقاط البيع، العملاء، المخزون، المشتريات، المبيعات، إدارة المهام والمشاريع، المستندات، العقود، الصلاحيات، دعم اللغتين العربية والإنجليزية، وهيكلة الشركات والفروع، وتحديث واجهات النظام.</w:t>
      </w:r>
    </w:p>
    <w:p>
      <w:pPr>
        <w:pStyle w:val="Heading1"/>
        <w:spacing w:before="320" w:after="160" w:line="264" w:lineRule="auto"/>
        <w:jc w:val="right"/>
        <w:bidi w:val="1"/>
      </w:pPr>
      <w:r>
        <w:rPr>
          <w:rFonts w:ascii="Arial" w:hAnsi="Arial" w:cs="Arial"/>
          <w:b/>
          <w:color w:val="2E74B5"/>
          <w:sz w:val="32"/>
          <w:rtl w:val="1"/>
        </w:rPr>
        <w:t>ثانياً: تفاصيل الأعمال المنجزة في نظام ERP</w:t>
      </w:r>
    </w:p>
    <w:p>
      <w:pPr>
        <w:pStyle w:val="Heading2"/>
        <w:spacing w:before="240" w:after="120" w:line="264" w:lineRule="auto"/>
        <w:jc w:val="right"/>
        <w:bidi w:val="1"/>
      </w:pPr>
      <w:r>
        <w:rPr>
          <w:rFonts w:ascii="Arial" w:hAnsi="Arial" w:cs="Arial"/>
          <w:b/>
          <w:color w:val="2E74B5"/>
          <w:sz w:val="26"/>
          <w:rtl w:val="1"/>
        </w:rPr>
        <w:t>1. المحاسبة</w:t>
      </w:r>
    </w:p>
    <w:p>
      <w:pPr>
        <w:spacing w:before="0" w:after="120" w:line="264" w:lineRule="auto"/>
        <w:jc w:val="right"/>
        <w:bidi w:val="1"/>
      </w:pPr>
      <w:r>
        <w:rPr>
          <w:rFonts w:ascii="Arial" w:hAnsi="Arial" w:cs="Arial"/>
          <w:b w:val="0"/>
          <w:color w:val="0B2545"/>
          <w:sz w:val="22"/>
          <w:rtl w:val="1"/>
        </w:rPr>
        <w:t>تم تنفيذ مجموعة من التحسينات المهمة في وحدة المحاسبة، بهدف رفع جودة الضبط المالي، تحسين وضوح العمليات، وتجهيز النظام لسيناريوهات مالية أكثر اكتمالاً.</w:t>
      </w:r>
    </w:p>
    <w:p>
      <w:pPr>
        <w:pStyle w:val="ListBullet"/>
        <w:spacing w:after="160" w:line="280" w:lineRule="auto"/>
        <w:ind w:right="0"/>
        <w:jc w:val="right"/>
        <w:bidi w:val="1"/>
      </w:pPr>
      <w:r>
        <w:rPr>
          <w:rFonts w:ascii="Arial" w:hAnsi="Arial" w:cs="Arial"/>
          <w:color w:val="0B2545"/>
          <w:sz w:val="22"/>
          <w:rtl w:val="1"/>
        </w:rPr>
        <w:t>تحسين شجرة الحسابات وتجربة عرضها وإدارتها بأسلوب أوضح، بما في ذلك تصميم أقرب إلى العرض الشجري للحسابات.</w:t>
      </w:r>
    </w:p>
    <w:p>
      <w:pPr>
        <w:pStyle w:val="ListBullet"/>
        <w:spacing w:after="160" w:line="280" w:lineRule="auto"/>
        <w:ind w:right="0"/>
        <w:jc w:val="right"/>
        <w:bidi w:val="1"/>
      </w:pPr>
      <w:r>
        <w:rPr>
          <w:rFonts w:ascii="Arial" w:hAnsi="Arial" w:cs="Arial"/>
          <w:color w:val="0B2545"/>
          <w:sz w:val="22"/>
          <w:rtl w:val="1"/>
        </w:rPr>
        <w:t>إضافة وتحسين قوالب المحاسبة لدعم تأسيس الحسابات بشكل أسرع وأكثر اتساقاً.</w:t>
      </w:r>
    </w:p>
    <w:p>
      <w:pPr>
        <w:pStyle w:val="ListBullet"/>
        <w:spacing w:after="160" w:line="280" w:lineRule="auto"/>
        <w:ind w:right="0"/>
        <w:jc w:val="right"/>
        <w:bidi w:val="1"/>
      </w:pPr>
      <w:r>
        <w:rPr>
          <w:rFonts w:ascii="Arial" w:hAnsi="Arial" w:cs="Arial"/>
          <w:color w:val="0B2545"/>
          <w:sz w:val="22"/>
          <w:rtl w:val="1"/>
        </w:rPr>
        <w:t>تعزيز مفهوم المحاسبة المنفصلة حسب الفروع والشركات، بما يدعم تتبع العمليات المالية لكل نطاق تشغيلي.</w:t>
      </w:r>
    </w:p>
    <w:p>
      <w:pPr>
        <w:pStyle w:val="ListBullet"/>
        <w:spacing w:after="160" w:line="280" w:lineRule="auto"/>
        <w:ind w:right="0"/>
        <w:jc w:val="right"/>
        <w:bidi w:val="1"/>
      </w:pPr>
      <w:r>
        <w:rPr>
          <w:rFonts w:ascii="Arial" w:hAnsi="Arial" w:cs="Arial"/>
          <w:color w:val="0B2545"/>
          <w:sz w:val="22"/>
          <w:rtl w:val="1"/>
        </w:rPr>
        <w:t>إضافة وتجهيز إقفالات محاسبية تساعد في ضبط الفترات المالية وإجراءات نهاية الفترة.</w:t>
      </w:r>
    </w:p>
    <w:p>
      <w:pPr>
        <w:pStyle w:val="ListBullet"/>
        <w:spacing w:after="160" w:line="280" w:lineRule="auto"/>
        <w:ind w:right="0"/>
        <w:jc w:val="right"/>
        <w:bidi w:val="1"/>
      </w:pPr>
      <w:r>
        <w:rPr>
          <w:rFonts w:ascii="Arial" w:hAnsi="Arial" w:cs="Arial"/>
          <w:color w:val="0B2545"/>
          <w:sz w:val="22"/>
          <w:rtl w:val="1"/>
        </w:rPr>
        <w:t>تحسين إدارة القيود اليومية والمستندات المحاسبية وربطها بالعمليات التشغيلية.</w:t>
      </w:r>
    </w:p>
    <w:p>
      <w:pPr>
        <w:pStyle w:val="ListBullet"/>
        <w:spacing w:after="160" w:line="280" w:lineRule="auto"/>
        <w:ind w:right="0"/>
        <w:jc w:val="right"/>
        <w:bidi w:val="1"/>
      </w:pPr>
      <w:r>
        <w:rPr>
          <w:rFonts w:ascii="Arial" w:hAnsi="Arial" w:cs="Arial"/>
          <w:color w:val="0B2545"/>
          <w:sz w:val="22"/>
          <w:rtl w:val="1"/>
        </w:rPr>
        <w:t>إضافة دعم لحسابات النقد والبنوك وربطها بمدفوعات النظام وتدفقات المستندات.</w:t>
      </w:r>
    </w:p>
    <w:p>
      <w:pPr>
        <w:pStyle w:val="ListBullet"/>
        <w:spacing w:after="160" w:line="280" w:lineRule="auto"/>
        <w:ind w:right="0"/>
        <w:jc w:val="right"/>
        <w:bidi w:val="1"/>
      </w:pPr>
      <w:r>
        <w:rPr>
          <w:rFonts w:ascii="Arial" w:hAnsi="Arial" w:cs="Arial"/>
          <w:color w:val="0B2545"/>
          <w:sz w:val="22"/>
          <w:rtl w:val="1"/>
        </w:rPr>
        <w:t>تحسين شاشات الضرائب، ملفات الترحيل، وإعدادات ZATCA وتقارير المحاسبة.</w:t>
      </w:r>
    </w:p>
    <w:p>
      <w:pPr>
        <w:pStyle w:val="ListBullet"/>
        <w:spacing w:after="160" w:line="280" w:lineRule="auto"/>
        <w:ind w:right="0"/>
        <w:jc w:val="right"/>
        <w:bidi w:val="1"/>
      </w:pPr>
      <w:r>
        <w:rPr>
          <w:rFonts w:ascii="Arial" w:hAnsi="Arial" w:cs="Arial"/>
          <w:color w:val="0B2545"/>
          <w:sz w:val="22"/>
          <w:rtl w:val="1"/>
        </w:rPr>
        <w:t>تحسين واجهات المحاسبة ولوحاتها لتسهيل الاستخدام والمتابعة من قبل الفرق المالية.</w:t>
      </w:r>
    </w:p>
    <w:p>
      <w:pPr>
        <w:spacing w:before="0" w:after="120" w:line="264" w:lineRule="auto"/>
        <w:jc w:val="right"/>
        <w:bidi w:val="1"/>
      </w:pPr>
      <w:r>
        <w:rPr>
          <w:rFonts w:ascii="Arial" w:hAnsi="Arial" w:cs="Arial"/>
          <w:b w:val="0"/>
          <w:color w:val="0B2545"/>
          <w:sz w:val="22"/>
          <w:rtl w:val="1"/>
        </w:rPr>
        <w:t>الأثر الإداري: هذه الأعمال تعزز الرقابة المالية، تدعم فصل العمليات حسب الفروع، وتجهز النظام لإدارة مالية أكثر انضباطاً ووضوحاً.</w:t>
      </w:r>
    </w:p>
    <w:p>
      <w:pPr>
        <w:pStyle w:val="Heading2"/>
        <w:spacing w:before="240" w:after="120" w:line="264" w:lineRule="auto"/>
        <w:jc w:val="right"/>
        <w:bidi w:val="1"/>
      </w:pPr>
      <w:r>
        <w:rPr>
          <w:rFonts w:ascii="Arial" w:hAnsi="Arial" w:cs="Arial"/>
          <w:b/>
          <w:color w:val="2E74B5"/>
          <w:sz w:val="26"/>
          <w:rtl w:val="1"/>
        </w:rPr>
        <w:t>2. الموارد البشرية</w:t>
      </w:r>
    </w:p>
    <w:p>
      <w:pPr>
        <w:pStyle w:val="Heading3"/>
        <w:spacing w:before="160" w:after="80" w:line="264" w:lineRule="auto"/>
        <w:jc w:val="right"/>
        <w:bidi w:val="1"/>
      </w:pPr>
      <w:r>
        <w:rPr>
          <w:rFonts w:ascii="Arial" w:hAnsi="Arial" w:cs="Arial"/>
          <w:b/>
          <w:color w:val="1F4D78"/>
          <w:sz w:val="24"/>
          <w:rtl w:val="1"/>
        </w:rPr>
        <w:t>إدارة الإجازات</w:t>
      </w:r>
    </w:p>
    <w:p>
      <w:pPr>
        <w:pStyle w:val="ListBullet"/>
        <w:spacing w:after="160" w:line="280" w:lineRule="auto"/>
        <w:ind w:right="0"/>
        <w:jc w:val="right"/>
        <w:bidi w:val="1"/>
      </w:pPr>
      <w:r>
        <w:rPr>
          <w:rFonts w:ascii="Arial" w:hAnsi="Arial" w:cs="Arial"/>
          <w:color w:val="0B2545"/>
          <w:sz w:val="22"/>
          <w:rtl w:val="1"/>
        </w:rPr>
        <w:t>إعادة هيكلة وتحسين وحدة الإجازات وفصلها بشكل أوضح عن الحضور عند الحاجة.</w:t>
      </w:r>
    </w:p>
    <w:p>
      <w:pPr>
        <w:pStyle w:val="ListBullet"/>
        <w:spacing w:after="160" w:line="280" w:lineRule="auto"/>
        <w:ind w:right="0"/>
        <w:jc w:val="right"/>
        <w:bidi w:val="1"/>
      </w:pPr>
      <w:r>
        <w:rPr>
          <w:rFonts w:ascii="Arial" w:hAnsi="Arial" w:cs="Arial"/>
          <w:color w:val="0B2545"/>
          <w:sz w:val="22"/>
          <w:rtl w:val="1"/>
        </w:rPr>
        <w:t>تحسين طلبات الإجازات، سياسات الإجازات، رصيد الإجازات، سجل الإجازات، وتقارير الإجازات.</w:t>
      </w:r>
    </w:p>
    <w:p>
      <w:pPr>
        <w:pStyle w:val="ListBullet"/>
        <w:spacing w:after="160" w:line="280" w:lineRule="auto"/>
        <w:ind w:right="0"/>
        <w:jc w:val="right"/>
        <w:bidi w:val="1"/>
      </w:pPr>
      <w:r>
        <w:rPr>
          <w:rFonts w:ascii="Arial" w:hAnsi="Arial" w:cs="Arial"/>
          <w:color w:val="0B2545"/>
          <w:sz w:val="22"/>
          <w:rtl w:val="1"/>
        </w:rPr>
        <w:t>تحسين طلبات الإجازة الطارئة وشاشات الموافقة عليها.</w:t>
      </w:r>
    </w:p>
    <w:p>
      <w:pPr>
        <w:pStyle w:val="ListBullet"/>
        <w:spacing w:after="160" w:line="280" w:lineRule="auto"/>
        <w:ind w:right="0"/>
        <w:jc w:val="right"/>
        <w:bidi w:val="1"/>
      </w:pPr>
      <w:r>
        <w:rPr>
          <w:rFonts w:ascii="Arial" w:hAnsi="Arial" w:cs="Arial"/>
          <w:color w:val="0B2545"/>
          <w:sz w:val="22"/>
          <w:rtl w:val="1"/>
        </w:rPr>
        <w:t>تعزيز منطق سياسات الإجازات والصلاحيات وقوالب الأدوار المرتبطة بها.</w:t>
      </w:r>
    </w:p>
    <w:p>
      <w:pPr>
        <w:spacing w:before="0" w:after="120" w:line="264" w:lineRule="auto"/>
        <w:jc w:val="right"/>
        <w:bidi w:val="1"/>
      </w:pPr>
      <w:r>
        <w:rPr>
          <w:rFonts w:ascii="Arial" w:hAnsi="Arial" w:cs="Arial"/>
          <w:b w:val="0"/>
          <w:color w:val="0B2545"/>
          <w:sz w:val="22"/>
          <w:rtl w:val="1"/>
        </w:rPr>
        <w:t>الأثر الإداري: أصبحت إجراءات الإجازات أكثر تنظيماً وأسهل في المتابعة والاعتماد وإصدار التقارير.</w:t>
      </w:r>
    </w:p>
    <w:p>
      <w:pPr>
        <w:pStyle w:val="Heading3"/>
        <w:spacing w:before="160" w:after="80" w:line="264" w:lineRule="auto"/>
        <w:jc w:val="right"/>
        <w:bidi w:val="1"/>
      </w:pPr>
      <w:r>
        <w:rPr>
          <w:rFonts w:ascii="Arial" w:hAnsi="Arial" w:cs="Arial"/>
          <w:b/>
          <w:color w:val="1F4D78"/>
          <w:sz w:val="24"/>
          <w:rtl w:val="1"/>
        </w:rPr>
        <w:t>الحضور والانصراف</w:t>
      </w:r>
    </w:p>
    <w:p>
      <w:pPr>
        <w:pStyle w:val="ListBullet"/>
        <w:spacing w:after="160" w:line="280" w:lineRule="auto"/>
        <w:ind w:right="0"/>
        <w:jc w:val="right"/>
        <w:bidi w:val="1"/>
      </w:pPr>
      <w:r>
        <w:rPr>
          <w:rFonts w:ascii="Arial" w:hAnsi="Arial" w:cs="Arial"/>
          <w:color w:val="0B2545"/>
          <w:sz w:val="22"/>
          <w:rtl w:val="1"/>
        </w:rPr>
        <w:t>تطوير وتوسيع منطق الحضور والانصراف في الواجهة والخلفية.</w:t>
      </w:r>
    </w:p>
    <w:p>
      <w:pPr>
        <w:pStyle w:val="ListBullet"/>
        <w:spacing w:after="160" w:line="280" w:lineRule="auto"/>
        <w:ind w:right="0"/>
        <w:jc w:val="right"/>
        <w:bidi w:val="1"/>
      </w:pPr>
      <w:r>
        <w:rPr>
          <w:rFonts w:ascii="Arial" w:hAnsi="Arial" w:cs="Arial"/>
          <w:color w:val="0B2545"/>
          <w:sz w:val="22"/>
          <w:rtl w:val="1"/>
        </w:rPr>
        <w:t>إضافة وتحسين شاشات الحضور، الجلسات، التقارير، الإجازات الرسمية، الورديات، وتكليفات الورديات.</w:t>
      </w:r>
    </w:p>
    <w:p>
      <w:pPr>
        <w:pStyle w:val="ListBullet"/>
        <w:spacing w:after="160" w:line="280" w:lineRule="auto"/>
        <w:ind w:right="0"/>
        <w:jc w:val="right"/>
        <w:bidi w:val="1"/>
      </w:pPr>
      <w:r>
        <w:rPr>
          <w:rFonts w:ascii="Arial" w:hAnsi="Arial" w:cs="Arial"/>
          <w:color w:val="0B2545"/>
          <w:sz w:val="22"/>
          <w:rtl w:val="1"/>
        </w:rPr>
        <w:t>تحسين قواعد التأخير، طلبات الاستئذان، الموافقات، والاستثناءات.</w:t>
      </w:r>
    </w:p>
    <w:p>
      <w:pPr>
        <w:pStyle w:val="ListBullet"/>
        <w:spacing w:after="160" w:line="280" w:lineRule="auto"/>
        <w:ind w:right="0"/>
        <w:jc w:val="right"/>
        <w:bidi w:val="1"/>
      </w:pPr>
      <w:r>
        <w:rPr>
          <w:rFonts w:ascii="Arial" w:hAnsi="Arial" w:cs="Arial"/>
          <w:color w:val="0B2545"/>
          <w:sz w:val="22"/>
          <w:rtl w:val="1"/>
        </w:rPr>
        <w:t>تعزيز منطق الجداول والبدائل، وربط الحضور بنوع حضور الموظف، الموقع، المسافة المسموحة، ونطاق القسم.</w:t>
      </w:r>
    </w:p>
    <w:p>
      <w:pPr>
        <w:pStyle w:val="ListBullet"/>
        <w:spacing w:after="160" w:line="280" w:lineRule="auto"/>
        <w:ind w:right="0"/>
        <w:jc w:val="right"/>
        <w:bidi w:val="1"/>
      </w:pPr>
      <w:r>
        <w:rPr>
          <w:rFonts w:ascii="Arial" w:hAnsi="Arial" w:cs="Arial"/>
          <w:color w:val="0B2545"/>
          <w:sz w:val="22"/>
          <w:rtl w:val="1"/>
        </w:rPr>
        <w:t>إضافة حماية ضد استخدام المواقع الوهمية وتحسين تجربة التنقل داخل شاشات الحضور.</w:t>
      </w:r>
    </w:p>
    <w:p>
      <w:pPr>
        <w:spacing w:before="0" w:after="120" w:line="264" w:lineRule="auto"/>
        <w:jc w:val="right"/>
        <w:bidi w:val="1"/>
      </w:pPr>
      <w:r>
        <w:rPr>
          <w:rFonts w:ascii="Arial" w:hAnsi="Arial" w:cs="Arial"/>
          <w:b w:val="0"/>
          <w:color w:val="0B2545"/>
          <w:sz w:val="22"/>
          <w:rtl w:val="1"/>
        </w:rPr>
        <w:t>الأثر الإداري: أصبح النظام أقرب للجاهزية التشغيلية في إدارة الحضور، الورديات، المواقع، الاستثناءات، والتقارير.</w:t>
      </w:r>
    </w:p>
    <w:p>
      <w:pPr>
        <w:pStyle w:val="Heading3"/>
        <w:spacing w:before="160" w:after="80" w:line="264" w:lineRule="auto"/>
        <w:jc w:val="right"/>
        <w:bidi w:val="1"/>
      </w:pPr>
      <w:r>
        <w:rPr>
          <w:rFonts w:ascii="Arial" w:hAnsi="Arial" w:cs="Arial"/>
          <w:b/>
          <w:color w:val="1F4D78"/>
          <w:sz w:val="24"/>
          <w:rtl w:val="1"/>
        </w:rPr>
        <w:t>الرواتب</w:t>
      </w:r>
    </w:p>
    <w:p>
      <w:pPr>
        <w:pStyle w:val="ListBullet"/>
        <w:spacing w:after="160" w:line="280" w:lineRule="auto"/>
        <w:ind w:right="0"/>
        <w:jc w:val="right"/>
        <w:bidi w:val="1"/>
      </w:pPr>
      <w:r>
        <w:rPr>
          <w:rFonts w:ascii="Arial" w:hAnsi="Arial" w:cs="Arial"/>
          <w:color w:val="0B2545"/>
          <w:sz w:val="22"/>
          <w:rtl w:val="1"/>
        </w:rPr>
        <w:t>إنشاء وتفعيل ميزات وحدة الرواتب، بما يشمل مكونات الرواتب، العقود، وتوليد الرواتب.</w:t>
      </w:r>
    </w:p>
    <w:p>
      <w:pPr>
        <w:pStyle w:val="ListBullet"/>
        <w:spacing w:after="160" w:line="280" w:lineRule="auto"/>
        <w:ind w:right="0"/>
        <w:jc w:val="right"/>
        <w:bidi w:val="1"/>
      </w:pPr>
      <w:r>
        <w:rPr>
          <w:rFonts w:ascii="Arial" w:hAnsi="Arial" w:cs="Arial"/>
          <w:color w:val="0B2545"/>
          <w:sz w:val="22"/>
          <w:rtl w:val="1"/>
        </w:rPr>
        <w:t>إضافة تعيين عقود الموظفين، بنود العقود، مسيرات الرواتب، والاعتماد.</w:t>
      </w:r>
    </w:p>
    <w:p>
      <w:pPr>
        <w:pStyle w:val="ListBullet"/>
        <w:spacing w:after="160" w:line="280" w:lineRule="auto"/>
        <w:ind w:right="0"/>
        <w:jc w:val="right"/>
        <w:bidi w:val="1"/>
      </w:pPr>
      <w:r>
        <w:rPr>
          <w:rFonts w:ascii="Arial" w:hAnsi="Arial" w:cs="Arial"/>
          <w:color w:val="0B2545"/>
          <w:sz w:val="22"/>
          <w:rtl w:val="1"/>
        </w:rPr>
        <w:t>إضافة قروض الموظفين ضمن الرواتب وتحسين معالجتها.</w:t>
      </w:r>
    </w:p>
    <w:p>
      <w:pPr>
        <w:pStyle w:val="ListBullet"/>
        <w:spacing w:after="160" w:line="280" w:lineRule="auto"/>
        <w:ind w:right="0"/>
        <w:jc w:val="right"/>
        <w:bidi w:val="1"/>
      </w:pPr>
      <w:r>
        <w:rPr>
          <w:rFonts w:ascii="Arial" w:hAnsi="Arial" w:cs="Arial"/>
          <w:color w:val="0B2545"/>
          <w:sz w:val="22"/>
          <w:rtl w:val="1"/>
        </w:rPr>
        <w:t>إصلاح مشكلات مرتبطة بعقود الرواتب وتحسين واجهات الرواتب.</w:t>
      </w:r>
    </w:p>
    <w:p>
      <w:pPr>
        <w:pStyle w:val="ListBullet"/>
        <w:spacing w:after="160" w:line="280" w:lineRule="auto"/>
        <w:ind w:right="0"/>
        <w:jc w:val="right"/>
        <w:bidi w:val="1"/>
      </w:pPr>
      <w:r>
        <w:rPr>
          <w:rFonts w:ascii="Arial" w:hAnsi="Arial" w:cs="Arial"/>
          <w:color w:val="0B2545"/>
          <w:sz w:val="22"/>
          <w:rtl w:val="1"/>
        </w:rPr>
        <w:t>إضافة تحسينات مرتبطة بالرواتب السعودية مثل WPS، نهاية الخدمة، قسائم الرواتب، والتحضير للترحيل المحاسبي.</w:t>
      </w:r>
    </w:p>
    <w:p>
      <w:pPr>
        <w:spacing w:before="0" w:after="120" w:line="264" w:lineRule="auto"/>
        <w:jc w:val="right"/>
        <w:bidi w:val="1"/>
      </w:pPr>
      <w:r>
        <w:rPr>
          <w:rFonts w:ascii="Arial" w:hAnsi="Arial" w:cs="Arial"/>
          <w:b w:val="0"/>
          <w:color w:val="0B2545"/>
          <w:sz w:val="22"/>
          <w:rtl w:val="1"/>
        </w:rPr>
        <w:t>الأثر الإداري: أصبحت الرواتب أكثر قدرة على دعم العقود، البدلات، الخصومات، القروض، ومتطلبات السوق السعودي.</w:t>
      </w:r>
    </w:p>
    <w:p>
      <w:pPr>
        <w:pStyle w:val="Heading3"/>
        <w:spacing w:before="160" w:after="80" w:line="264" w:lineRule="auto"/>
        <w:jc w:val="right"/>
        <w:bidi w:val="1"/>
      </w:pPr>
      <w:r>
        <w:rPr>
          <w:rFonts w:ascii="Arial" w:hAnsi="Arial" w:cs="Arial"/>
          <w:b/>
          <w:color w:val="1F4D78"/>
          <w:sz w:val="24"/>
          <w:rtl w:val="1"/>
        </w:rPr>
        <w:t>إدارة الموظفين وتقارير HR</w:t>
      </w:r>
    </w:p>
    <w:p>
      <w:pPr>
        <w:pStyle w:val="ListBullet"/>
        <w:spacing w:after="160" w:line="280" w:lineRule="auto"/>
        <w:ind w:right="0"/>
        <w:jc w:val="right"/>
        <w:bidi w:val="1"/>
      </w:pPr>
      <w:r>
        <w:rPr>
          <w:rFonts w:ascii="Arial" w:hAnsi="Arial" w:cs="Arial"/>
          <w:color w:val="0B2545"/>
          <w:sz w:val="22"/>
          <w:rtl w:val="1"/>
        </w:rPr>
        <w:t>تحسين قائمة الموظفين ونموذج الموظف ودورة حياة الموظف.</w:t>
      </w:r>
    </w:p>
    <w:p>
      <w:pPr>
        <w:pStyle w:val="ListBullet"/>
        <w:spacing w:after="160" w:line="280" w:lineRule="auto"/>
        <w:ind w:right="0"/>
        <w:jc w:val="right"/>
        <w:bidi w:val="1"/>
      </w:pPr>
      <w:r>
        <w:rPr>
          <w:rFonts w:ascii="Arial" w:hAnsi="Arial" w:cs="Arial"/>
          <w:color w:val="0B2545"/>
          <w:sz w:val="22"/>
          <w:rtl w:val="1"/>
        </w:rPr>
        <w:t>إضافة تقرير 360 درجة للموظفين.</w:t>
      </w:r>
    </w:p>
    <w:p>
      <w:pPr>
        <w:pStyle w:val="ListBullet"/>
        <w:spacing w:after="160" w:line="280" w:lineRule="auto"/>
        <w:ind w:right="0"/>
        <w:jc w:val="right"/>
        <w:bidi w:val="1"/>
      </w:pPr>
      <w:r>
        <w:rPr>
          <w:rFonts w:ascii="Arial" w:hAnsi="Arial" w:cs="Arial"/>
          <w:color w:val="0B2545"/>
          <w:sz w:val="22"/>
          <w:rtl w:val="1"/>
        </w:rPr>
        <w:t>السماح بتحديث كود ورقم الموظف وتحسين الربط التنظيمي والتحويل بين الأقسام.</w:t>
      </w:r>
    </w:p>
    <w:p>
      <w:pPr>
        <w:pStyle w:val="ListBullet"/>
        <w:spacing w:after="160" w:line="280" w:lineRule="auto"/>
        <w:ind w:right="0"/>
        <w:jc w:val="right"/>
        <w:bidi w:val="1"/>
      </w:pPr>
      <w:r>
        <w:rPr>
          <w:rFonts w:ascii="Arial" w:hAnsi="Arial" w:cs="Arial"/>
          <w:color w:val="0B2545"/>
          <w:sz w:val="22"/>
          <w:rtl w:val="1"/>
        </w:rPr>
        <w:t>تعزيز الصلاحيات والأدوار المرتبطة بعمليات الموارد البشرية.</w:t>
      </w:r>
    </w:p>
    <w:p>
      <w:pPr>
        <w:spacing w:before="0" w:after="120" w:line="264" w:lineRule="auto"/>
        <w:jc w:val="right"/>
        <w:bidi w:val="1"/>
      </w:pPr>
      <w:r>
        <w:rPr>
          <w:rFonts w:ascii="Arial" w:hAnsi="Arial" w:cs="Arial"/>
          <w:b w:val="0"/>
          <w:color w:val="0B2545"/>
          <w:sz w:val="22"/>
          <w:rtl w:val="1"/>
        </w:rPr>
        <w:t>الأثر الإداري: تحسنت جودة بيانات الموظفين، قابلية المتابعة، ودعم القرار في الموارد البشرية.</w:t>
      </w:r>
    </w:p>
    <w:p>
      <w:pPr>
        <w:pStyle w:val="Heading2"/>
        <w:spacing w:before="240" w:after="120" w:line="264" w:lineRule="auto"/>
        <w:jc w:val="right"/>
        <w:bidi w:val="1"/>
      </w:pPr>
      <w:r>
        <w:rPr>
          <w:rFonts w:ascii="Arial" w:hAnsi="Arial" w:cs="Arial"/>
          <w:b/>
          <w:color w:val="2E74B5"/>
          <w:sz w:val="26"/>
          <w:rtl w:val="1"/>
        </w:rPr>
        <w:t>3. المتاجر ونقاط البيع والمبيعات</w:t>
      </w:r>
    </w:p>
    <w:p>
      <w:pPr>
        <w:pStyle w:val="ListBullet"/>
        <w:spacing w:after="160" w:line="280" w:lineRule="auto"/>
        <w:ind w:right="0"/>
        <w:jc w:val="right"/>
        <w:bidi w:val="1"/>
      </w:pPr>
      <w:r>
        <w:rPr>
          <w:rFonts w:ascii="Arial" w:hAnsi="Arial" w:cs="Arial"/>
          <w:color w:val="0B2545"/>
          <w:sz w:val="22"/>
          <w:rtl w:val="1"/>
        </w:rPr>
        <w:t>إعادة هيكلة وتحسين StoreFront وإضافة إدارة الفروع، الأقسام، المدير، الشعار، والتنظيم الداخلي.</w:t>
      </w:r>
    </w:p>
    <w:p>
      <w:pPr>
        <w:pStyle w:val="ListBullet"/>
        <w:spacing w:after="160" w:line="280" w:lineRule="auto"/>
        <w:ind w:right="0"/>
        <w:jc w:val="right"/>
        <w:bidi w:val="1"/>
      </w:pPr>
      <w:r>
        <w:rPr>
          <w:rFonts w:ascii="Arial" w:hAnsi="Arial" w:cs="Arial"/>
          <w:color w:val="0B2545"/>
          <w:sz w:val="22"/>
          <w:rtl w:val="1"/>
        </w:rPr>
        <w:t>تحسين شاشة نقطة البيع، بطاقات المنتجات، الفلاتر، السلة، وجلسات الكاشير.</w:t>
      </w:r>
    </w:p>
    <w:p>
      <w:pPr>
        <w:pStyle w:val="ListBullet"/>
        <w:spacing w:after="160" w:line="280" w:lineRule="auto"/>
        <w:ind w:right="0"/>
        <w:jc w:val="right"/>
        <w:bidi w:val="1"/>
      </w:pPr>
      <w:r>
        <w:rPr>
          <w:rFonts w:ascii="Arial" w:hAnsi="Arial" w:cs="Arial"/>
          <w:color w:val="0B2545"/>
          <w:sz w:val="22"/>
          <w:rtl w:val="1"/>
        </w:rPr>
        <w:t>تطبيق نطاق الفروع على نقاط البيع، السلة، المدفوعات، أوامر البيع، المخزون، والتكامل المحاسبي.</w:t>
      </w:r>
    </w:p>
    <w:p>
      <w:pPr>
        <w:pStyle w:val="ListBullet"/>
        <w:spacing w:after="160" w:line="280" w:lineRule="auto"/>
        <w:ind w:right="0"/>
        <w:jc w:val="right"/>
        <w:bidi w:val="1"/>
      </w:pPr>
      <w:r>
        <w:rPr>
          <w:rFonts w:ascii="Arial" w:hAnsi="Arial" w:cs="Arial"/>
          <w:color w:val="0B2545"/>
          <w:sz w:val="22"/>
          <w:rtl w:val="1"/>
        </w:rPr>
        <w:t>تحسين أوامر البيع، تفاصيل الطلب، الفوترة، الإلغاء، والبيع المباشر من POS.</w:t>
      </w:r>
    </w:p>
    <w:p>
      <w:pPr>
        <w:spacing w:before="0" w:after="120" w:line="264" w:lineRule="auto"/>
        <w:jc w:val="right"/>
        <w:bidi w:val="1"/>
      </w:pPr>
      <w:r>
        <w:rPr>
          <w:rFonts w:ascii="Arial" w:hAnsi="Arial" w:cs="Arial"/>
          <w:b w:val="0"/>
          <w:color w:val="0B2545"/>
          <w:sz w:val="22"/>
          <w:rtl w:val="1"/>
        </w:rPr>
        <w:t>الأثر الإداري: أصبحت عمليات المتاجر والمبيعات أكثر ترابطاً مع المخزون، المدفوعات، والمحاسبة، وأكثر ملاءمة لإدارة الفروع.</w:t>
      </w:r>
    </w:p>
    <w:p>
      <w:pPr>
        <w:pStyle w:val="Heading2"/>
        <w:spacing w:before="240" w:after="120" w:line="264" w:lineRule="auto"/>
        <w:jc w:val="right"/>
        <w:bidi w:val="1"/>
      </w:pPr>
      <w:r>
        <w:rPr>
          <w:rFonts w:ascii="Arial" w:hAnsi="Arial" w:cs="Arial"/>
          <w:b/>
          <w:color w:val="2E74B5"/>
          <w:sz w:val="26"/>
          <w:rtl w:val="1"/>
        </w:rPr>
        <w:t>4. العملاء والتسعير</w:t>
      </w:r>
    </w:p>
    <w:p>
      <w:pPr>
        <w:pStyle w:val="ListBullet"/>
        <w:spacing w:after="160" w:line="280" w:lineRule="auto"/>
        <w:ind w:right="0"/>
        <w:jc w:val="right"/>
        <w:bidi w:val="1"/>
      </w:pPr>
      <w:r>
        <w:rPr>
          <w:rFonts w:ascii="Arial" w:hAnsi="Arial" w:cs="Arial"/>
          <w:color w:val="0B2545"/>
          <w:sz w:val="22"/>
          <w:rtl w:val="1"/>
        </w:rPr>
        <w:t>إنشاء مجموعات العملاء وتحسين قوائم العملاء ولوحاتهم.</w:t>
      </w:r>
    </w:p>
    <w:p>
      <w:pPr>
        <w:pStyle w:val="ListBullet"/>
        <w:spacing w:after="160" w:line="280" w:lineRule="auto"/>
        <w:ind w:right="0"/>
        <w:jc w:val="right"/>
        <w:bidi w:val="1"/>
      </w:pPr>
      <w:r>
        <w:rPr>
          <w:rFonts w:ascii="Arial" w:hAnsi="Arial" w:cs="Arial"/>
          <w:color w:val="0B2545"/>
          <w:sz w:val="22"/>
          <w:rtl w:val="1"/>
        </w:rPr>
        <w:t>إضافة ملفات تسعير العملاء وربطها بقوائم الأسعار.</w:t>
      </w:r>
    </w:p>
    <w:p>
      <w:pPr>
        <w:pStyle w:val="ListBullet"/>
        <w:spacing w:after="160" w:line="280" w:lineRule="auto"/>
        <w:ind w:right="0"/>
        <w:jc w:val="right"/>
        <w:bidi w:val="1"/>
      </w:pPr>
      <w:r>
        <w:rPr>
          <w:rFonts w:ascii="Arial" w:hAnsi="Arial" w:cs="Arial"/>
          <w:color w:val="0B2545"/>
          <w:sz w:val="22"/>
          <w:rtl w:val="1"/>
        </w:rPr>
        <w:t>تحسين خدمات العملاء والبيانات المشتركة المرتبطة بنوع العميل وشروط الدفع.</w:t>
      </w:r>
    </w:p>
    <w:p>
      <w:pPr>
        <w:spacing w:before="0" w:after="120" w:line="264" w:lineRule="auto"/>
        <w:jc w:val="right"/>
        <w:bidi w:val="1"/>
      </w:pPr>
      <w:r>
        <w:rPr>
          <w:rFonts w:ascii="Arial" w:hAnsi="Arial" w:cs="Arial"/>
          <w:b w:val="0"/>
          <w:color w:val="0B2545"/>
          <w:sz w:val="22"/>
          <w:rtl w:val="1"/>
        </w:rPr>
        <w:t>الأثر الإداري: يدعم النظام الآن تصنيف العملاء وإدارة الأسعار الخاصة بشكل أوضح.</w:t>
      </w:r>
    </w:p>
    <w:p>
      <w:pPr>
        <w:pStyle w:val="Heading2"/>
        <w:spacing w:before="240" w:after="120" w:line="264" w:lineRule="auto"/>
        <w:jc w:val="right"/>
        <w:bidi w:val="1"/>
      </w:pPr>
      <w:r>
        <w:rPr>
          <w:rFonts w:ascii="Arial" w:hAnsi="Arial" w:cs="Arial"/>
          <w:b/>
          <w:color w:val="2E74B5"/>
          <w:sz w:val="26"/>
          <w:rtl w:val="1"/>
        </w:rPr>
        <w:t>5. المخزون والمشتريات</w:t>
      </w:r>
    </w:p>
    <w:p>
      <w:pPr>
        <w:pStyle w:val="ListBullet"/>
        <w:spacing w:after="160" w:line="280" w:lineRule="auto"/>
        <w:ind w:right="0"/>
        <w:jc w:val="right"/>
        <w:bidi w:val="1"/>
      </w:pPr>
      <w:r>
        <w:rPr>
          <w:rFonts w:ascii="Arial" w:hAnsi="Arial" w:cs="Arial"/>
          <w:color w:val="0B2545"/>
          <w:sz w:val="22"/>
          <w:rtl w:val="1"/>
        </w:rPr>
        <w:t>إضافة وظائف مخزون ناقصة وتحسين مستودعات وحركات المخزون.</w:t>
      </w:r>
    </w:p>
    <w:p>
      <w:pPr>
        <w:pStyle w:val="ListBullet"/>
        <w:spacing w:after="160" w:line="280" w:lineRule="auto"/>
        <w:ind w:right="0"/>
        <w:jc w:val="right"/>
        <w:bidi w:val="1"/>
      </w:pPr>
      <w:r>
        <w:rPr>
          <w:rFonts w:ascii="Arial" w:hAnsi="Arial" w:cs="Arial"/>
          <w:color w:val="0B2545"/>
          <w:sz w:val="22"/>
          <w:rtl w:val="1"/>
        </w:rPr>
        <w:t>تحسين عمليات الإدخال، الإخراج، التسوية، الحجز، الإفراج، دفتر الحركة، والتحويلات بين المستودعات.</w:t>
      </w:r>
    </w:p>
    <w:p>
      <w:pPr>
        <w:pStyle w:val="ListBullet"/>
        <w:spacing w:after="160" w:line="280" w:lineRule="auto"/>
        <w:ind w:right="0"/>
        <w:jc w:val="right"/>
        <w:bidi w:val="1"/>
      </w:pPr>
      <w:r>
        <w:rPr>
          <w:rFonts w:ascii="Arial" w:hAnsi="Arial" w:cs="Arial"/>
          <w:color w:val="0B2545"/>
          <w:sz w:val="22"/>
          <w:rtl w:val="1"/>
        </w:rPr>
        <w:t>تطبيق نطاق الفروع على عمليات المخزون.</w:t>
      </w:r>
    </w:p>
    <w:p>
      <w:pPr>
        <w:pStyle w:val="ListBullet"/>
        <w:spacing w:after="160" w:line="280" w:lineRule="auto"/>
        <w:ind w:right="0"/>
        <w:jc w:val="right"/>
        <w:bidi w:val="1"/>
      </w:pPr>
      <w:r>
        <w:rPr>
          <w:rFonts w:ascii="Arial" w:hAnsi="Arial" w:cs="Arial"/>
          <w:color w:val="0B2545"/>
          <w:sz w:val="22"/>
          <w:rtl w:val="1"/>
        </w:rPr>
        <w:t>إضافة وتحسين وحدة المشتريات، الصلاحيات، مستندات الشراء، قواعد إعادة الطلب، أسعار الموردين، وبنود الموردين.</w:t>
      </w:r>
    </w:p>
    <w:p>
      <w:pPr>
        <w:spacing w:before="0" w:after="120" w:line="264" w:lineRule="auto"/>
        <w:jc w:val="right"/>
        <w:bidi w:val="1"/>
      </w:pPr>
      <w:r>
        <w:rPr>
          <w:rFonts w:ascii="Arial" w:hAnsi="Arial" w:cs="Arial"/>
          <w:b w:val="0"/>
          <w:color w:val="0B2545"/>
          <w:sz w:val="22"/>
          <w:rtl w:val="1"/>
        </w:rPr>
        <w:t>الأثر الإداري: أصبحت إدارة سلسلة التوريد والمخزون أكثر اكتمالاً وقابلية للرقابة اليومية.</w:t>
      </w:r>
    </w:p>
    <w:p>
      <w:pPr>
        <w:pStyle w:val="Heading2"/>
        <w:spacing w:before="240" w:after="120" w:line="264" w:lineRule="auto"/>
        <w:jc w:val="right"/>
        <w:bidi w:val="1"/>
      </w:pPr>
      <w:r>
        <w:rPr>
          <w:rFonts w:ascii="Arial" w:hAnsi="Arial" w:cs="Arial"/>
          <w:b/>
          <w:color w:val="2E74B5"/>
          <w:sz w:val="26"/>
          <w:rtl w:val="1"/>
        </w:rPr>
        <w:t>6. إدارة المهام والمشاريع</w:t>
      </w:r>
    </w:p>
    <w:p>
      <w:pPr>
        <w:pStyle w:val="ListBullet"/>
        <w:spacing w:after="160" w:line="280" w:lineRule="auto"/>
        <w:ind w:right="0"/>
        <w:jc w:val="right"/>
        <w:bidi w:val="1"/>
      </w:pPr>
      <w:r>
        <w:rPr>
          <w:rFonts w:ascii="Arial" w:hAnsi="Arial" w:cs="Arial"/>
          <w:color w:val="0B2545"/>
          <w:sz w:val="22"/>
          <w:rtl w:val="1"/>
        </w:rPr>
        <w:t>رفع وحدة إدارة المهام إلى مستوى تشغيلي مناسب.</w:t>
      </w:r>
    </w:p>
    <w:p>
      <w:pPr>
        <w:pStyle w:val="ListBullet"/>
        <w:spacing w:after="160" w:line="280" w:lineRule="auto"/>
        <w:ind w:right="0"/>
        <w:jc w:val="right"/>
        <w:bidi w:val="1"/>
      </w:pPr>
      <w:r>
        <w:rPr>
          <w:rFonts w:ascii="Arial" w:hAnsi="Arial" w:cs="Arial"/>
          <w:color w:val="0B2545"/>
          <w:sz w:val="22"/>
          <w:rtl w:val="1"/>
        </w:rPr>
        <w:t>إضافة لوحة المهام، Kanban، التقارير، إنشاء وتعديل وعرض المهام، التعليقات، المرفقات، الإسناد، تغيير الحالة، التقدم، والتنبيهات.</w:t>
      </w:r>
    </w:p>
    <w:p>
      <w:pPr>
        <w:pStyle w:val="ListBullet"/>
        <w:spacing w:after="160" w:line="280" w:lineRule="auto"/>
        <w:ind w:right="0"/>
        <w:jc w:val="right"/>
        <w:bidi w:val="1"/>
      </w:pPr>
      <w:r>
        <w:rPr>
          <w:rFonts w:ascii="Arial" w:hAnsi="Arial" w:cs="Arial"/>
          <w:color w:val="0B2545"/>
          <w:sz w:val="22"/>
          <w:rtl w:val="1"/>
        </w:rPr>
        <w:t>بدء أعمال إدارة المشاريع وتحسين واجهات المتابعة.</w:t>
      </w:r>
    </w:p>
    <w:p>
      <w:pPr>
        <w:spacing w:before="0" w:after="120" w:line="264" w:lineRule="auto"/>
        <w:jc w:val="right"/>
        <w:bidi w:val="1"/>
      </w:pPr>
      <w:r>
        <w:rPr>
          <w:rFonts w:ascii="Arial" w:hAnsi="Arial" w:cs="Arial"/>
          <w:b w:val="0"/>
          <w:color w:val="0B2545"/>
          <w:sz w:val="22"/>
          <w:rtl w:val="1"/>
        </w:rPr>
        <w:t>الأثر الإداري: توفر المنصة الآن أدوات أفضل لمتابعة الأعمال الداخلية، المسؤوليات، والتقدم.</w:t>
      </w:r>
    </w:p>
    <w:p>
      <w:pPr>
        <w:pStyle w:val="Heading2"/>
        <w:spacing w:before="240" w:after="120" w:line="264" w:lineRule="auto"/>
        <w:jc w:val="right"/>
        <w:bidi w:val="1"/>
      </w:pPr>
      <w:r>
        <w:rPr>
          <w:rFonts w:ascii="Arial" w:hAnsi="Arial" w:cs="Arial"/>
          <w:b/>
          <w:color w:val="2E74B5"/>
          <w:sz w:val="26"/>
          <w:rtl w:val="1"/>
        </w:rPr>
        <w:t>7. المستندات والعقود والقوالب</w:t>
      </w:r>
    </w:p>
    <w:p>
      <w:pPr>
        <w:pStyle w:val="ListBullet"/>
        <w:spacing w:after="160" w:line="280" w:lineRule="auto"/>
        <w:ind w:right="0"/>
        <w:jc w:val="right"/>
        <w:bidi w:val="1"/>
      </w:pPr>
      <w:r>
        <w:rPr>
          <w:rFonts w:ascii="Arial" w:hAnsi="Arial" w:cs="Arial"/>
          <w:color w:val="0B2545"/>
          <w:sz w:val="22"/>
          <w:rtl w:val="1"/>
        </w:rPr>
        <w:t>إنشاء وتحسين وحدة إدارة المستندات وإضافة الواجهات الناقصة لها.</w:t>
      </w:r>
    </w:p>
    <w:p>
      <w:pPr>
        <w:pStyle w:val="ListBullet"/>
        <w:spacing w:after="160" w:line="280" w:lineRule="auto"/>
        <w:ind w:right="0"/>
        <w:jc w:val="right"/>
        <w:bidi w:val="1"/>
      </w:pPr>
      <w:r>
        <w:rPr>
          <w:rFonts w:ascii="Arial" w:hAnsi="Arial" w:cs="Arial"/>
          <w:color w:val="0B2545"/>
          <w:sz w:val="22"/>
          <w:rtl w:val="1"/>
        </w:rPr>
        <w:t>إضافة تخزين مستندات قابل للتكوين.</w:t>
      </w:r>
    </w:p>
    <w:p>
      <w:pPr>
        <w:pStyle w:val="ListBullet"/>
        <w:spacing w:after="160" w:line="280" w:lineRule="auto"/>
        <w:ind w:right="0"/>
        <w:jc w:val="right"/>
        <w:bidi w:val="1"/>
      </w:pPr>
      <w:r>
        <w:rPr>
          <w:rFonts w:ascii="Arial" w:hAnsi="Arial" w:cs="Arial"/>
          <w:color w:val="0B2545"/>
          <w:sz w:val="22"/>
          <w:rtl w:val="1"/>
        </w:rPr>
        <w:t>إضافة وحدة العقود ودعم العقود ثنائية اللغة.</w:t>
      </w:r>
    </w:p>
    <w:p>
      <w:pPr>
        <w:pStyle w:val="ListBullet"/>
        <w:spacing w:after="160" w:line="280" w:lineRule="auto"/>
        <w:ind w:right="0"/>
        <w:jc w:val="right"/>
        <w:bidi w:val="1"/>
      </w:pPr>
      <w:r>
        <w:rPr>
          <w:rFonts w:ascii="Arial" w:hAnsi="Arial" w:cs="Arial"/>
          <w:color w:val="0B2545"/>
          <w:sz w:val="22"/>
          <w:rtl w:val="1"/>
        </w:rPr>
        <w:t>إضافة وتحديث قوالب الصفحة الرئيسية ومركز الوسائط.</w:t>
      </w:r>
    </w:p>
    <w:p>
      <w:pPr>
        <w:spacing w:before="0" w:after="120" w:line="264" w:lineRule="auto"/>
        <w:jc w:val="right"/>
        <w:bidi w:val="1"/>
      </w:pPr>
      <w:r>
        <w:rPr>
          <w:rFonts w:ascii="Arial" w:hAnsi="Arial" w:cs="Arial"/>
          <w:b w:val="0"/>
          <w:color w:val="0B2545"/>
          <w:sz w:val="22"/>
          <w:rtl w:val="1"/>
        </w:rPr>
        <w:t>الأثر الإداري: أصبح النظام أفضل في حفظ المستندات، إدارة العقود، وتقديم محتوى مؤسسي منظم.</w:t>
      </w:r>
    </w:p>
    <w:p>
      <w:pPr>
        <w:pStyle w:val="Heading2"/>
        <w:spacing w:before="240" w:after="120" w:line="264" w:lineRule="auto"/>
        <w:jc w:val="right"/>
        <w:bidi w:val="1"/>
      </w:pPr>
      <w:r>
        <w:rPr>
          <w:rFonts w:ascii="Arial" w:hAnsi="Arial" w:cs="Arial"/>
          <w:b/>
          <w:color w:val="2E74B5"/>
          <w:sz w:val="26"/>
          <w:rtl w:val="1"/>
        </w:rPr>
        <w:t>8. التنظيم، الفروع، الشركات، والصلاحيات</w:t>
      </w:r>
    </w:p>
    <w:p>
      <w:pPr>
        <w:pStyle w:val="ListBullet"/>
        <w:spacing w:after="160" w:line="280" w:lineRule="auto"/>
        <w:ind w:right="0"/>
        <w:jc w:val="right"/>
        <w:bidi w:val="1"/>
      </w:pPr>
      <w:r>
        <w:rPr>
          <w:rFonts w:ascii="Arial" w:hAnsi="Arial" w:cs="Arial"/>
          <w:color w:val="0B2545"/>
          <w:sz w:val="22"/>
          <w:rtl w:val="1"/>
        </w:rPr>
        <w:t>إضافة مفهوم نطاق الشركة والفرع عبر عدة وحدات.</w:t>
      </w:r>
    </w:p>
    <w:p>
      <w:pPr>
        <w:pStyle w:val="ListBullet"/>
        <w:spacing w:after="160" w:line="280" w:lineRule="auto"/>
        <w:ind w:right="0"/>
        <w:jc w:val="right"/>
        <w:bidi w:val="1"/>
      </w:pPr>
      <w:r>
        <w:rPr>
          <w:rFonts w:ascii="Arial" w:hAnsi="Arial" w:cs="Arial"/>
          <w:color w:val="0B2545"/>
          <w:sz w:val="22"/>
          <w:rtl w:val="1"/>
        </w:rPr>
        <w:t>إضافة هيكل الشركات الأم والفرعية ودعم تعدد المستأجرين.</w:t>
      </w:r>
    </w:p>
    <w:p>
      <w:pPr>
        <w:pStyle w:val="ListBullet"/>
        <w:spacing w:after="160" w:line="280" w:lineRule="auto"/>
        <w:ind w:right="0"/>
        <w:jc w:val="right"/>
        <w:bidi w:val="1"/>
      </w:pPr>
      <w:r>
        <w:rPr>
          <w:rFonts w:ascii="Arial" w:hAnsi="Arial" w:cs="Arial"/>
          <w:color w:val="0B2545"/>
          <w:sz w:val="22"/>
          <w:rtl w:val="1"/>
        </w:rPr>
        <w:t>تعزيز الأدوار المرتبطة بالشركة وإنشاء دور شامل وتحسين قوالب الأدوار.</w:t>
      </w:r>
    </w:p>
    <w:p>
      <w:pPr>
        <w:pStyle w:val="ListBullet"/>
        <w:spacing w:after="160" w:line="280" w:lineRule="auto"/>
        <w:ind w:right="0"/>
        <w:jc w:val="right"/>
        <w:bidi w:val="1"/>
      </w:pPr>
      <w:r>
        <w:rPr>
          <w:rFonts w:ascii="Arial" w:hAnsi="Arial" w:cs="Arial"/>
          <w:color w:val="0B2545"/>
          <w:sz w:val="22"/>
          <w:rtl w:val="1"/>
        </w:rPr>
        <w:t>تحسين إدارة الفروع، الإدارات، لوحة التنظيم، الوصول للفرع، وتعيينات أدوار الفروع.</w:t>
      </w:r>
    </w:p>
    <w:p>
      <w:pPr>
        <w:pStyle w:val="ListBullet"/>
        <w:spacing w:after="160" w:line="280" w:lineRule="auto"/>
        <w:ind w:right="0"/>
        <w:jc w:val="right"/>
        <w:bidi w:val="1"/>
      </w:pPr>
      <w:r>
        <w:rPr>
          <w:rFonts w:ascii="Arial" w:hAnsi="Arial" w:cs="Arial"/>
          <w:color w:val="0B2545"/>
          <w:sz w:val="22"/>
          <w:rtl w:val="1"/>
        </w:rPr>
        <w:t>تطبيق مبدأ الأمان الافتراضي وتحسين التنقل المعتمد على الصلاحيات.</w:t>
      </w:r>
    </w:p>
    <w:p>
      <w:pPr>
        <w:spacing w:before="0" w:after="120" w:line="264" w:lineRule="auto"/>
        <w:jc w:val="right"/>
        <w:bidi w:val="1"/>
      </w:pPr>
      <w:r>
        <w:rPr>
          <w:rFonts w:ascii="Arial" w:hAnsi="Arial" w:cs="Arial"/>
          <w:b w:val="0"/>
          <w:color w:val="0B2545"/>
          <w:sz w:val="22"/>
          <w:rtl w:val="1"/>
        </w:rPr>
        <w:t>الأثر الإداري: تدعم هذه الأعمال الحوكمة، فصل الصلاحيات، وإدارة العمليات متعددة الفروع والشركات.</w:t>
      </w:r>
    </w:p>
    <w:p>
      <w:pPr>
        <w:pStyle w:val="Heading2"/>
        <w:spacing w:before="240" w:after="120" w:line="264" w:lineRule="auto"/>
        <w:jc w:val="right"/>
        <w:bidi w:val="1"/>
      </w:pPr>
      <w:r>
        <w:rPr>
          <w:rFonts w:ascii="Arial" w:hAnsi="Arial" w:cs="Arial"/>
          <w:b/>
          <w:color w:val="2E74B5"/>
          <w:sz w:val="26"/>
          <w:rtl w:val="1"/>
        </w:rPr>
        <w:t>9. تجربة المستخدم، التنقل، ودعم اللغات</w:t>
      </w:r>
    </w:p>
    <w:p>
      <w:pPr>
        <w:pStyle w:val="ListBullet"/>
        <w:spacing w:after="160" w:line="280" w:lineRule="auto"/>
        <w:ind w:right="0"/>
        <w:jc w:val="right"/>
        <w:bidi w:val="1"/>
      </w:pPr>
      <w:r>
        <w:rPr>
          <w:rFonts w:ascii="Arial" w:hAnsi="Arial" w:cs="Arial"/>
          <w:color w:val="0B2545"/>
          <w:sz w:val="22"/>
          <w:rtl w:val="1"/>
        </w:rPr>
        <w:t>إعادة تصميم وتحسين التنقل الرئيسي أكثر من مرة للوصول إلى تجربة أوضح.</w:t>
      </w:r>
    </w:p>
    <w:p>
      <w:pPr>
        <w:pStyle w:val="ListBullet"/>
        <w:spacing w:after="160" w:line="280" w:lineRule="auto"/>
        <w:ind w:right="0"/>
        <w:jc w:val="right"/>
        <w:bidi w:val="1"/>
      </w:pPr>
      <w:r>
        <w:rPr>
          <w:rFonts w:ascii="Arial" w:hAnsi="Arial" w:cs="Arial"/>
          <w:color w:val="0B2545"/>
          <w:sz w:val="22"/>
          <w:rtl w:val="1"/>
        </w:rPr>
        <w:t>إضافة البحث في الشريط الجانبي، المجموعات القابلة للطي، الحدود البصرية بين مناطق العمل، وتحسين تجربة الهاتف وسطح المكتب.</w:t>
      </w:r>
    </w:p>
    <w:p>
      <w:pPr>
        <w:pStyle w:val="ListBullet"/>
        <w:spacing w:after="160" w:line="280" w:lineRule="auto"/>
        <w:ind w:right="0"/>
        <w:jc w:val="right"/>
        <w:bidi w:val="1"/>
      </w:pPr>
      <w:r>
        <w:rPr>
          <w:rFonts w:ascii="Arial" w:hAnsi="Arial" w:cs="Arial"/>
          <w:color w:val="0B2545"/>
          <w:sz w:val="22"/>
          <w:rtl w:val="1"/>
        </w:rPr>
        <w:t>تطبيق تحسينات عامة على الثيم والواجهات عبر صفحات النظام.</w:t>
      </w:r>
    </w:p>
    <w:p>
      <w:pPr>
        <w:pStyle w:val="ListBullet"/>
        <w:spacing w:after="160" w:line="280" w:lineRule="auto"/>
        <w:ind w:right="0"/>
        <w:jc w:val="right"/>
        <w:bidi w:val="1"/>
      </w:pPr>
      <w:r>
        <w:rPr>
          <w:rFonts w:ascii="Arial" w:hAnsi="Arial" w:cs="Arial"/>
          <w:color w:val="0B2545"/>
          <w:sz w:val="22"/>
          <w:rtl w:val="1"/>
        </w:rPr>
        <w:t>تعزيز دعم العربية والإنجليزية عبر الصفحات.</w:t>
      </w:r>
    </w:p>
    <w:p>
      <w:pPr>
        <w:pStyle w:val="ListBullet"/>
        <w:spacing w:after="160" w:line="280" w:lineRule="auto"/>
        <w:ind w:right="0"/>
        <w:jc w:val="right"/>
        <w:bidi w:val="1"/>
      </w:pPr>
      <w:r>
        <w:rPr>
          <w:rFonts w:ascii="Arial" w:hAnsi="Arial" w:cs="Arial"/>
          <w:color w:val="0B2545"/>
          <w:sz w:val="22"/>
          <w:rtl w:val="1"/>
        </w:rPr>
        <w:t>تحسين صفحات الدخول، الرئيسية، الموظفين، التنظيم، الكتالوج، العملاء، المخزون، HR، والمحاسبة.</w:t>
      </w:r>
    </w:p>
    <w:p>
      <w:pPr>
        <w:spacing w:before="0" w:after="120" w:line="264" w:lineRule="auto"/>
        <w:jc w:val="right"/>
        <w:bidi w:val="1"/>
      </w:pPr>
      <w:r>
        <w:rPr>
          <w:rFonts w:ascii="Arial" w:hAnsi="Arial" w:cs="Arial"/>
          <w:b w:val="0"/>
          <w:color w:val="0B2545"/>
          <w:sz w:val="22"/>
          <w:rtl w:val="1"/>
        </w:rPr>
        <w:t>الأثر الإداري: أصبح النظام أسهل في الاستخدام، أكثر اتساقاً، وأكثر ملاءمة للمستخدمين العرب والإنجليز.</w:t>
      </w:r>
    </w:p>
    <w:p>
      <w:pPr>
        <w:pStyle w:val="Heading1"/>
        <w:spacing w:before="320" w:after="160" w:line="264" w:lineRule="auto"/>
        <w:jc w:val="right"/>
        <w:bidi w:val="1"/>
      </w:pPr>
      <w:r>
        <w:rPr>
          <w:rFonts w:ascii="Arial" w:hAnsi="Arial" w:cs="Arial"/>
          <w:b/>
          <w:color w:val="2E74B5"/>
          <w:sz w:val="32"/>
          <w:rtl w:val="1"/>
        </w:rPr>
        <w:t>ثالثاً: الأثر العام على العمل</w:t>
      </w:r>
    </w:p>
    <w:p>
      <w:pPr>
        <w:pStyle w:val="ListBullet"/>
        <w:spacing w:after="160" w:line="280" w:lineRule="auto"/>
        <w:ind w:right="0"/>
        <w:jc w:val="right"/>
        <w:bidi w:val="1"/>
      </w:pPr>
      <w:r>
        <w:rPr>
          <w:rFonts w:ascii="Arial" w:hAnsi="Arial" w:cs="Arial"/>
          <w:color w:val="0B2545"/>
          <w:sz w:val="22"/>
          <w:rtl w:val="1"/>
        </w:rPr>
        <w:t>رفع الجاهزية التشغيلية لوحدات المحاسبة، الموارد البشرية، الحضور، الرواتب، المتاجر، المبيعات، المخزون، والمشتريات.</w:t>
      </w:r>
    </w:p>
    <w:p>
      <w:pPr>
        <w:pStyle w:val="ListBullet"/>
        <w:spacing w:after="160" w:line="280" w:lineRule="auto"/>
        <w:ind w:right="0"/>
        <w:jc w:val="right"/>
        <w:bidi w:val="1"/>
      </w:pPr>
      <w:r>
        <w:rPr>
          <w:rFonts w:ascii="Arial" w:hAnsi="Arial" w:cs="Arial"/>
          <w:color w:val="0B2545"/>
          <w:sz w:val="22"/>
          <w:rtl w:val="1"/>
        </w:rPr>
        <w:t>تحسين التحكم حسب الفروع والشركات، بما يدعم الحوكمة وتوزيع الصلاحيات.</w:t>
      </w:r>
    </w:p>
    <w:p>
      <w:pPr>
        <w:pStyle w:val="ListBullet"/>
        <w:spacing w:after="160" w:line="280" w:lineRule="auto"/>
        <w:ind w:right="0"/>
        <w:jc w:val="right"/>
        <w:bidi w:val="1"/>
      </w:pPr>
      <w:r>
        <w:rPr>
          <w:rFonts w:ascii="Arial" w:hAnsi="Arial" w:cs="Arial"/>
          <w:color w:val="0B2545"/>
          <w:sz w:val="22"/>
          <w:rtl w:val="1"/>
        </w:rPr>
        <w:t>تعزيز الجاهزية المالية والامتثال من خلال أعمال المحاسبة، ZATCA، الرواتب السعودية، والإقفالات.</w:t>
      </w:r>
    </w:p>
    <w:p>
      <w:pPr>
        <w:pStyle w:val="ListBullet"/>
        <w:spacing w:after="160" w:line="280" w:lineRule="auto"/>
        <w:ind w:right="0"/>
        <w:jc w:val="right"/>
        <w:bidi w:val="1"/>
      </w:pPr>
      <w:r>
        <w:rPr>
          <w:rFonts w:ascii="Arial" w:hAnsi="Arial" w:cs="Arial"/>
          <w:color w:val="0B2545"/>
          <w:sz w:val="22"/>
          <w:rtl w:val="1"/>
        </w:rPr>
        <w:t>تقليل العمل اليدوي عبر تحسين workflows والموافقات والتقارير.</w:t>
      </w:r>
    </w:p>
    <w:p>
      <w:pPr>
        <w:pStyle w:val="ListBullet"/>
        <w:spacing w:after="160" w:line="280" w:lineRule="auto"/>
        <w:ind w:right="0"/>
        <w:jc w:val="right"/>
        <w:bidi w:val="1"/>
      </w:pPr>
      <w:r>
        <w:rPr>
          <w:rFonts w:ascii="Arial" w:hAnsi="Arial" w:cs="Arial"/>
          <w:color w:val="0B2545"/>
          <w:sz w:val="22"/>
          <w:rtl w:val="1"/>
        </w:rPr>
        <w:t>تحسين تجربة المستخدم بما يدعم التبني الداخلي للنظام.</w:t>
      </w:r>
    </w:p>
    <w:p>
      <w:pPr>
        <w:pStyle w:val="Heading1"/>
        <w:spacing w:before="320" w:after="160" w:line="264" w:lineRule="auto"/>
        <w:jc w:val="right"/>
        <w:bidi w:val="1"/>
      </w:pPr>
      <w:r>
        <w:rPr>
          <w:rFonts w:ascii="Arial" w:hAnsi="Arial" w:cs="Arial"/>
          <w:b/>
          <w:color w:val="2E74B5"/>
          <w:sz w:val="32"/>
          <w:rtl w:val="1"/>
        </w:rPr>
        <w:t>رابعاً: التركيز المقترح للفترة القادمة</w:t>
      </w:r>
    </w:p>
    <w:p>
      <w:pPr>
        <w:pStyle w:val="ListBullet"/>
        <w:spacing w:after="160" w:line="280" w:lineRule="auto"/>
        <w:ind w:right="0"/>
        <w:jc w:val="right"/>
        <w:bidi w:val="1"/>
      </w:pPr>
      <w:r>
        <w:rPr>
          <w:rFonts w:ascii="Arial" w:hAnsi="Arial" w:cs="Arial"/>
          <w:color w:val="0B2545"/>
          <w:sz w:val="22"/>
          <w:rtl w:val="1"/>
        </w:rPr>
        <w:t>تنفيذ UAT منظم لوحدات المحاسبة، HR، الحضور، الرواتب، StoreFront/POS، والمخزون.</w:t>
      </w:r>
    </w:p>
    <w:p>
      <w:pPr>
        <w:pStyle w:val="ListBullet"/>
        <w:spacing w:after="160" w:line="280" w:lineRule="auto"/>
        <w:ind w:right="0"/>
        <w:jc w:val="right"/>
        <w:bidi w:val="1"/>
      </w:pPr>
      <w:r>
        <w:rPr>
          <w:rFonts w:ascii="Arial" w:hAnsi="Arial" w:cs="Arial"/>
          <w:color w:val="0B2545"/>
          <w:sz w:val="22"/>
          <w:rtl w:val="1"/>
        </w:rPr>
        <w:t>استكمال لوحات الإدارة والتقارير الرئيسية للمحاسبة والموارد البشرية.</w:t>
      </w:r>
    </w:p>
    <w:p>
      <w:pPr>
        <w:pStyle w:val="ListBullet"/>
        <w:spacing w:after="160" w:line="280" w:lineRule="auto"/>
        <w:ind w:right="0"/>
        <w:jc w:val="right"/>
        <w:bidi w:val="1"/>
      </w:pPr>
      <w:r>
        <w:rPr>
          <w:rFonts w:ascii="Arial" w:hAnsi="Arial" w:cs="Arial"/>
          <w:color w:val="0B2545"/>
          <w:sz w:val="22"/>
          <w:rtl w:val="1"/>
        </w:rPr>
        <w:t>التحقق من صلاحيات الفروع وقوالب الأدوار وسيناريوهات الوصول.</w:t>
      </w:r>
    </w:p>
    <w:p>
      <w:pPr>
        <w:pStyle w:val="ListBullet"/>
        <w:spacing w:after="160" w:line="280" w:lineRule="auto"/>
        <w:ind w:right="0"/>
        <w:jc w:val="right"/>
        <w:bidi w:val="1"/>
      </w:pPr>
      <w:r>
        <w:rPr>
          <w:rFonts w:ascii="Arial" w:hAnsi="Arial" w:cs="Arial"/>
          <w:color w:val="0B2545"/>
          <w:sz w:val="22"/>
          <w:rtl w:val="1"/>
        </w:rPr>
        <w:t>اختبار المسارات الكاملة للرواتب، الإجازات، استثناءات الحضور، البيع، الدفع، حركة المخزون، والترحيل المحاسبي.</w:t>
      </w:r>
    </w:p>
    <w:p>
      <w:pPr>
        <w:pStyle w:val="ListBullet"/>
        <w:spacing w:after="160" w:line="280" w:lineRule="auto"/>
        <w:ind w:right="0"/>
        <w:jc w:val="right"/>
        <w:bidi w:val="1"/>
      </w:pPr>
      <w:r>
        <w:rPr>
          <w:rFonts w:ascii="Arial" w:hAnsi="Arial" w:cs="Arial"/>
          <w:color w:val="0B2545"/>
          <w:sz w:val="22"/>
          <w:rtl w:val="1"/>
        </w:rPr>
        <w:t>تحضير قائمة جاهزية الإنتاج، بما يشمل النسخ الاحتياطي، الترحيل، النشر، وتدريب المستخدمين.</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bidi w:val="1"/>
    </w:pPr>
    <w:r>
      <w:rPr>
        <w:rFonts w:ascii="Arial" w:hAnsi="Arial" w:cs="Arial"/>
        <w:color w:val="555555"/>
        <w:sz w:val="18"/>
        <w:rtl w:val="1"/>
      </w:rPr>
      <w:t>تقرير شهري - منصة الأفكار ERP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التقدم الشهري لتطوير نظام ERP</dc:title>
  <dc:subject>تقرير إداري شهري</dc:subject>
  <dc:creator>AlAfkar ERP</dc:creator>
  <cp:keywords/>
  <dc:description>generated by python-docx</dc:description>
  <cp:lastModifiedBy/>
  <cp:revision>1</cp:revision>
  <dcterms:created xsi:type="dcterms:W3CDTF">2013-12-23T23:15:00Z</dcterms:created>
  <dcterms:modified xsi:type="dcterms:W3CDTF">2013-12-23T23:15:00Z</dcterms:modified>
  <cp:category/>
</cp:coreProperties>
</file>