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0B2CA" w14:textId="77777777" w:rsidR="008C5E94" w:rsidRDefault="00E94D79">
      <w:pPr>
        <w:spacing w:before="210" w:after="0" w:line="360" w:lineRule="auto"/>
      </w:pPr>
      <w:r>
        <w:rPr>
          <w:noProof/>
        </w:rPr>
      </w:r>
      <w:r>
        <w:rPr>
          <w:noProof/>
        </w:rPr>
        <w:pict w14:anchorId="59058381">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947C747" w14:textId="77777777" w:rsidR="008C5E94" w:rsidRDefault="00E94D79">
      <w:pPr>
        <w:spacing w:before="315" w:after="105" w:line="360" w:lineRule="auto"/>
        <w:ind w:left="-30"/>
      </w:pPr>
      <w:bookmarkStart w:id="0" w:name="bm_3_data_and_methods"/>
      <w:r>
        <w:rPr>
          <w:rFonts w:eastAsia="Georgia" w:hAnsi="Georgia" w:cs="Georgia"/>
          <w:b/>
          <w:color w:val="000000"/>
          <w:sz w:val="24"/>
        </w:rPr>
        <w:t>3. Data and Methods</w:t>
      </w:r>
      <w:bookmarkEnd w:id="0"/>
    </w:p>
    <w:p w14:paraId="71B4A4BD" w14:textId="77777777" w:rsidR="008C5E94" w:rsidRDefault="00E94D79">
      <w:pPr>
        <w:spacing w:before="315" w:after="105" w:line="360" w:lineRule="auto"/>
        <w:ind w:left="-30"/>
      </w:pPr>
      <w:bookmarkStart w:id="1" w:name="bm_3_1_field_data_collection"/>
      <w:r>
        <w:rPr>
          <w:rFonts w:eastAsia="Georgia" w:hAnsi="Georgia" w:cs="Georgia"/>
          <w:b/>
          <w:color w:val="000000"/>
          <w:sz w:val="24"/>
        </w:rPr>
        <w:t>3.1 Field data collection</w:t>
      </w:r>
      <w:bookmarkEnd w:id="1"/>
    </w:p>
    <w:p w14:paraId="3A20DE79" w14:textId="77777777" w:rsidR="008C5E94" w:rsidRDefault="00E94D79">
      <w:pPr>
        <w:spacing w:after="210" w:line="360" w:lineRule="auto"/>
      </w:pPr>
      <w:r>
        <w:rPr>
          <w:rFonts w:eastAsia="Georgia" w:hAnsi="Georgia" w:cs="Georgia"/>
          <w:color w:val="000000"/>
        </w:rPr>
        <w:t>Joint and slope orientations were measured at five road‑cut sites in Najd‑affected crystalline rocks in the Makkah region, western Arabian Shield. Each site consists of one or more steep cut slopes in granodiorite and related plutonic lithologies that expose well‑developed joint sets and, locally, shear zones related to the Najd system and younger Red Sea–related structures.</w:t>
      </w:r>
      <w:bookmarkStart w:id="2" w:name="fnref3"/>
      <w:bookmarkEnd w:id="2"/>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1A038C85" w14:textId="77777777" w:rsidR="008C5E94" w:rsidRDefault="00E94D79">
      <w:pPr>
        <w:spacing w:after="210" w:line="360" w:lineRule="auto"/>
      </w:pPr>
      <w:r>
        <w:rPr>
          <w:rFonts w:eastAsia="Georgia" w:hAnsi="Georgia" w:cs="Georgia"/>
          <w:color w:val="000000"/>
        </w:rPr>
        <w:t>At each site, 100 measurements of dip direction and dip were collected using a standard compass–clinometer, following conventional engineering‑geology scanline practice, for a total of 500 measurements. Measurements were recorded as azimuths in the 0–360° system and represent either individual discontinuity planes (joints, small faults, foliations) or slope faces where these could be treated as single kinematic surfaces.</w:t>
      </w:r>
      <w:bookmarkStart w:id="3" w:name="fnref3_1"/>
      <w:bookmarkEnd w:id="3"/>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15328583" w14:textId="77777777" w:rsidR="008C5E94" w:rsidRDefault="00E94D79">
      <w:pPr>
        <w:spacing w:after="210" w:line="360" w:lineRule="auto"/>
      </w:pPr>
      <w:r>
        <w:rPr>
          <w:rFonts w:eastAsia="Georgia" w:hAnsi="Georgia" w:cs="Georgia"/>
          <w:color w:val="000000"/>
        </w:rPr>
        <w:t>Scanlines were positioned to sample the full height and lateral extent of each cut, while avoiding obvious bias toward visually prominent sets. Where access allowed, measurements were taken on benches as well as from the road shoulder, to reduce clustering near a single elevation. Wet or highly weathered surfaces were cleaned locally with a hammer before measurement to ensure that the true structural orientation, rather than small‑scale roughness, was captured.</w:t>
      </w:r>
      <w:bookmarkStart w:id="4" w:name="fnref2_1"/>
      <w:bookmarkEnd w:id="4"/>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bookmarkStart w:id="5" w:name="fnref3_2"/>
      <w:bookmarkEnd w:id="5"/>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4E38B919" w14:textId="77777777" w:rsidR="008C5E94" w:rsidRDefault="00E94D79">
      <w:pPr>
        <w:spacing w:before="315" w:after="105" w:line="360" w:lineRule="auto"/>
        <w:ind w:left="-30"/>
      </w:pPr>
      <w:bookmarkStart w:id="6" w:name="bm_3_2_orientation_conventions_an_a987d4"/>
      <w:r>
        <w:rPr>
          <w:rFonts w:eastAsia="Georgia" w:hAnsi="Georgia" w:cs="Georgia"/>
          <w:b/>
          <w:color w:val="000000"/>
          <w:sz w:val="24"/>
        </w:rPr>
        <w:t>3.2 Orientation conventions and pre‑processing</w:t>
      </w:r>
      <w:bookmarkEnd w:id="6"/>
    </w:p>
    <w:p w14:paraId="7121CAFF" w14:textId="77777777" w:rsidR="008C5E94" w:rsidRDefault="00E94D79">
      <w:pPr>
        <w:spacing w:after="210" w:line="360" w:lineRule="auto"/>
      </w:pPr>
      <w:r>
        <w:rPr>
          <w:rFonts w:eastAsia="Georgia" w:hAnsi="Georgia" w:cs="Georgia"/>
          <w:color w:val="000000"/>
        </w:rPr>
        <w:t>All discontinuity orientations are treated as axial (circular) data on the range 0–360°, rather than as linear variables, because 0° and 360° represent the same physical direction. For consistency with regional tectonic usage, directions are reported as dip azimuths measured clockwise from geographic north; strike values were used only for internal checks and are not analysed statistically.</w:t>
      </w:r>
      <w:bookmarkStart w:id="7" w:name="fnref2_2"/>
      <w:bookmarkEnd w:id="7"/>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bookmarkStart w:id="8" w:name="fnref3_3"/>
      <w:bookmarkEnd w:id="8"/>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38758D73" w14:textId="77777777" w:rsidR="008C5E94" w:rsidRDefault="00E94D79">
      <w:pPr>
        <w:spacing w:after="210" w:line="360" w:lineRule="auto"/>
      </w:pPr>
      <w:r>
        <w:rPr>
          <w:rFonts w:eastAsia="Georgia" w:hAnsi="Georgia" w:cs="Georgia"/>
          <w:color w:val="000000"/>
        </w:rPr>
        <w:t>Before statistical analysis, all measurements were visually inspected for obvious recording errors (for example, swapped dip and dip‑direction columns or dip angles exceeding 90°). Questionable entries were revisited using field notes and photographs; measurements that could not be confidently corrected were removed, but this accounted for only a very small fraction of the dataset.</w:t>
      </w:r>
      <w:bookmarkStart w:id="9" w:name="fnref3_4"/>
      <w:bookmarkEnd w:id="9"/>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10C05583" w14:textId="77777777" w:rsidR="008C5E94" w:rsidRDefault="00E94D79">
      <w:pPr>
        <w:spacing w:before="315" w:after="105" w:line="360" w:lineRule="auto"/>
        <w:ind w:left="-30"/>
      </w:pPr>
      <w:bookmarkStart w:id="10" w:name="bm_3_3_circular_statistics"/>
      <w:r>
        <w:rPr>
          <w:rFonts w:eastAsia="Georgia" w:hAnsi="Georgia" w:cs="Georgia"/>
          <w:b/>
          <w:color w:val="000000"/>
          <w:sz w:val="24"/>
        </w:rPr>
        <w:t>3.3 Circular statistics</w:t>
      </w:r>
      <w:bookmarkEnd w:id="10"/>
    </w:p>
    <w:p w14:paraId="3D9D492C" w14:textId="77777777" w:rsidR="008C5E94" w:rsidRDefault="00E94D79">
      <w:pPr>
        <w:spacing w:after="210" w:line="360" w:lineRule="auto"/>
      </w:pPr>
      <w:r>
        <w:rPr>
          <w:rFonts w:eastAsia="Georgia" w:hAnsi="Georgia" w:cs="Georgia"/>
          <w:color w:val="000000"/>
        </w:rPr>
        <w:t xml:space="preserve">Because dip directions lie on a circle, standard linear statistics are not appropriate. We therefore used basic circular statistics to characterise the orientation distribution at each site. For each of the five </w:t>
      </w:r>
      <w:r>
        <w:rPr>
          <w:rFonts w:eastAsia="Georgia" w:hAnsi="Georgia" w:cs="Georgia"/>
          <w:color w:val="000000"/>
        </w:rPr>
        <w:lastRenderedPageBreak/>
        <w:t xml:space="preserve">sites, we computed the mean dip direction, the resultant vector length </w:t>
      </w:r>
      <m:oMath>
        <m:r>
          <w:rPr>
            <w:rFonts w:ascii="Cambria Math" w:hAnsi="Cambria Math"/>
            <w:color w:val="000000"/>
          </w:rPr>
          <m:t>R</m:t>
        </m:r>
      </m:oMath>
      <w:r>
        <w:rPr>
          <w:rFonts w:eastAsia="Georgia" w:hAnsi="Georgia" w:cs="Georgia"/>
          <w:color w:val="000000"/>
        </w:rPr>
        <w:t>, and the corresponding circular variance using standard formulations for directional data.</w:t>
      </w:r>
      <w:bookmarkStart w:id="11" w:name="fnref3_5"/>
      <w:bookmarkEnd w:id="11"/>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560CFADE" w14:textId="77777777" w:rsidR="008C5E94" w:rsidRDefault="00E94D79">
      <w:pPr>
        <w:spacing w:after="210" w:line="360" w:lineRule="auto"/>
      </w:pPr>
      <w:r>
        <w:rPr>
          <w:rFonts w:eastAsia="Georgia" w:hAnsi="Georgia" w:cs="Georgia"/>
          <w:color w:val="000000"/>
        </w:rPr>
        <w:t xml:space="preserve">The Rayleigh test was applied to assess whether the dip‑direction data at each site depart significantly from a uniform (random) distribution on the circle. In this context, a significant Rayleigh result (small p‑value) indicates statistically meaningful clustering of directions, consistent with structural control rather than random erosion or road‑design effects. Site‑level results are reported as </w:t>
      </w:r>
      <m:oMath>
        <m:r>
          <w:rPr>
            <w:rFonts w:ascii="Cambria Math" w:hAnsi="Cambria Math"/>
            <w:color w:val="000000"/>
          </w:rPr>
          <m:t>R</m:t>
        </m:r>
      </m:oMath>
      <w:r>
        <w:rPr>
          <w:rFonts w:eastAsia="Georgia" w:hAnsi="Georgia" w:cs="Georgia"/>
          <w:color w:val="000000"/>
        </w:rPr>
        <w:t xml:space="preserve"> and p‑values, alongside the mean direction and sample size </w:t>
      </w:r>
      <m:oMath>
        <m:r>
          <w:rPr>
            <w:rFonts w:ascii="Cambria Math" w:hAnsi="Cambria Math"/>
            <w:color w:val="000000"/>
          </w:rPr>
          <m:t>N</m:t>
        </m:r>
        <m:r>
          <m:rPr>
            <m:sty m:val="p"/>
          </m:rPr>
          <w:rPr>
            <w:rFonts w:ascii="Cambria Math" w:hAnsi="Cambria Math"/>
            <w:color w:val="000000"/>
          </w:rPr>
          <m:t>=100</m:t>
        </m:r>
      </m:oMath>
      <w:r>
        <w:rPr>
          <w:rFonts w:eastAsia="Georgia" w:hAnsi="Georgia" w:cs="Georgia"/>
          <w:color w:val="000000"/>
        </w:rPr>
        <w:t xml:space="preserve"> per site.</w:t>
      </w:r>
      <w:bookmarkStart w:id="12" w:name="fnref3_6"/>
      <w:bookmarkEnd w:id="12"/>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4B010757" w14:textId="77777777" w:rsidR="008C5E94" w:rsidRDefault="00E94D79">
      <w:pPr>
        <w:spacing w:before="315" w:after="105" w:line="360" w:lineRule="auto"/>
        <w:ind w:left="-30"/>
      </w:pPr>
      <w:bookmarkStart w:id="13" w:name="bm_3_4_bimodal_classification_int_b76317"/>
      <w:r>
        <w:rPr>
          <w:rFonts w:eastAsia="Georgia" w:hAnsi="Georgia" w:cs="Georgia"/>
          <w:b/>
          <w:color w:val="000000"/>
          <w:sz w:val="24"/>
        </w:rPr>
        <w:t>3.4 Bimodal classification into Najd, Red Sea, and Other</w:t>
      </w:r>
      <w:bookmarkEnd w:id="13"/>
    </w:p>
    <w:p w14:paraId="018375A4" w14:textId="77777777" w:rsidR="008C5E94" w:rsidRDefault="00E94D79">
      <w:pPr>
        <w:spacing w:after="210" w:line="360" w:lineRule="auto"/>
      </w:pPr>
      <w:r>
        <w:rPr>
          <w:rFonts w:eastAsia="Georgia" w:hAnsi="Georgia" w:cs="Georgia"/>
          <w:color w:val="000000"/>
        </w:rPr>
        <w:t>To link the field measurements to regional tectonics, each dip‑direction was classified into one of three structural families: Najd, Red Sea, or Other. This classification is based on simple azimuth “windows” that approximate the expected surface expression of the two main fault systems in the study area.</w:t>
      </w:r>
      <w:bookmarkStart w:id="14" w:name="fnref3_7"/>
      <w:bookmarkEnd w:id="14"/>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2B44D0AC" w14:textId="77777777" w:rsidR="008C5E94" w:rsidRDefault="00E94D79">
      <w:pPr>
        <w:spacing w:after="210" w:line="360" w:lineRule="auto"/>
      </w:pPr>
      <w:r>
        <w:rPr>
          <w:rFonts w:eastAsia="Georgia" w:hAnsi="Georgia" w:cs="Georgia"/>
          <w:color w:val="000000"/>
        </w:rPr>
        <w:t>Najd‑related directions were defined by two opposite windows centred on the regional NW–SE Najd trend: 310–340° and 130–160°. Red Sea–related directions were defined by two opposite windows centred on the NE–SW Red Sea trend: 40–70° and 220–250°. Each measurement was assigned as follows:</w:t>
      </w:r>
      <w:bookmarkStart w:id="15" w:name="fnref3_8"/>
      <w:bookmarkEnd w:id="15"/>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0A0623E4" w14:textId="77777777" w:rsidR="008C5E94" w:rsidRDefault="00E94D79">
      <w:pPr>
        <w:numPr>
          <w:ilvl w:val="0"/>
          <w:numId w:val="1"/>
        </w:numPr>
        <w:spacing w:before="105" w:after="105" w:line="360" w:lineRule="auto"/>
      </w:pPr>
      <w:r>
        <w:rPr>
          <w:rFonts w:eastAsia="Georgia" w:hAnsi="Georgia" w:cs="Georgia"/>
          <w:color w:val="000000"/>
        </w:rPr>
        <w:t>“Najd” if its dip direction fell within either Najd window.</w:t>
      </w:r>
      <w:bookmarkStart w:id="16" w:name="fnref3_9"/>
      <w:bookmarkEnd w:id="16"/>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289B92CC" w14:textId="77777777" w:rsidR="008C5E94" w:rsidRDefault="00E94D79">
      <w:pPr>
        <w:numPr>
          <w:ilvl w:val="0"/>
          <w:numId w:val="1"/>
        </w:numPr>
        <w:spacing w:before="105" w:after="105" w:line="360" w:lineRule="auto"/>
      </w:pPr>
      <w:r>
        <w:rPr>
          <w:rFonts w:eastAsia="Georgia" w:hAnsi="Georgia" w:cs="Georgia"/>
          <w:color w:val="000000"/>
        </w:rPr>
        <w:t>“Red Sea” if it fell within either Red Sea window.</w:t>
      </w:r>
      <w:bookmarkStart w:id="17" w:name="fnref3_10"/>
      <w:bookmarkEnd w:id="17"/>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735B5756" w14:textId="77777777" w:rsidR="008C5E94" w:rsidRDefault="00E94D79">
      <w:pPr>
        <w:numPr>
          <w:ilvl w:val="0"/>
          <w:numId w:val="1"/>
        </w:numPr>
        <w:spacing w:before="105" w:after="105" w:line="360" w:lineRule="auto"/>
      </w:pPr>
      <w:r>
        <w:rPr>
          <w:rFonts w:eastAsia="Georgia" w:hAnsi="Georgia" w:cs="Georgia"/>
          <w:color w:val="000000"/>
        </w:rPr>
        <w:t>“Other” if it fell outside all four windows.</w:t>
      </w:r>
      <w:bookmarkStart w:id="18" w:name="fnref3_11"/>
      <w:bookmarkEnd w:id="18"/>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123281C8" w14:textId="77777777" w:rsidR="008C5E94" w:rsidRDefault="00E94D79">
      <w:pPr>
        <w:spacing w:after="210" w:line="360" w:lineRule="auto"/>
      </w:pPr>
      <w:r>
        <w:rPr>
          <w:rFonts w:eastAsia="Georgia" w:hAnsi="Georgia" w:cs="Georgia"/>
          <w:color w:val="000000"/>
        </w:rPr>
        <w:t>The window limits were chosen to be deliberately narrow, so that assigned measurements represent clearly aligned structural populations rather than marginal cases. This “strict window” approach reduces overlap between classes and makes the resulting Najd and Red Sea proportions conservative estimates of their true influence on slope orientation.</w:t>
      </w:r>
      <w:bookmarkStart w:id="19" w:name="fnref3_12"/>
      <w:bookmarkEnd w:id="19"/>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36A9975F" w14:textId="77777777" w:rsidR="008C5E94" w:rsidRDefault="00E94D79">
      <w:pPr>
        <w:spacing w:after="210" w:line="360" w:lineRule="auto"/>
      </w:pPr>
      <w:r>
        <w:rPr>
          <w:rFonts w:eastAsia="Georgia" w:hAnsi="Georgia" w:cs="Georgia"/>
          <w:color w:val="000000"/>
        </w:rPr>
        <w:t>For each site we then calculated the percentage of measurements in each class (Najd, Red Sea, Other), yielding a simple three‑way composition that can be compared between sites and used later as an input to the Najd Intensity Index.</w:t>
      </w:r>
      <w:bookmarkStart w:id="20" w:name="fnref3_13"/>
      <w:bookmarkEnd w:id="20"/>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2320D674" w14:textId="77777777" w:rsidR="008C5E94" w:rsidRDefault="00E94D79">
      <w:pPr>
        <w:spacing w:before="315" w:after="105" w:line="360" w:lineRule="auto"/>
        <w:ind w:left="-30"/>
      </w:pPr>
      <w:bookmarkStart w:id="21" w:name="bm_3_5_sensitivity_and_uncertainty"/>
      <w:r>
        <w:rPr>
          <w:rFonts w:eastAsia="Georgia" w:hAnsi="Georgia" w:cs="Georgia"/>
          <w:b/>
          <w:color w:val="000000"/>
          <w:sz w:val="24"/>
        </w:rPr>
        <w:t>3.5 Sensitivity and uncertainty</w:t>
      </w:r>
      <w:bookmarkEnd w:id="21"/>
    </w:p>
    <w:p w14:paraId="3DCFE9CC" w14:textId="77777777" w:rsidR="008C5E94" w:rsidRDefault="00E94D79">
      <w:pPr>
        <w:spacing w:after="210" w:line="360" w:lineRule="auto"/>
      </w:pPr>
      <w:r>
        <w:rPr>
          <w:rFonts w:eastAsia="Georgia" w:hAnsi="Georgia" w:cs="Georgia"/>
          <w:color w:val="000000"/>
        </w:rPr>
        <w:t xml:space="preserve">To assess the robustness of the bimodal classification, we carried out a simple sensitivity test by shifting the Najd and Red Sea window boundaries by ±5–10° and recomputing class proportions. The qualitative pattern—coexistence of Najd and Red Sea families at all sites with a substantial residual </w:t>
      </w:r>
      <w:r>
        <w:rPr>
          <w:rFonts w:eastAsia="Georgia" w:hAnsi="Georgia" w:cs="Georgia"/>
          <w:color w:val="000000"/>
        </w:rPr>
        <w:lastRenderedPageBreak/>
        <w:t>Other population—remained stable across these tests, indicating that the main conclusions do not depend on a single arbitrary set of window limits.</w:t>
      </w:r>
      <w:bookmarkStart w:id="22" w:name="fnref3_14"/>
      <w:bookmarkEnd w:id="22"/>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6C48FFCA" w14:textId="77777777" w:rsidR="008C5E94" w:rsidRDefault="00E94D79">
      <w:pPr>
        <w:spacing w:after="210" w:line="360" w:lineRule="auto"/>
      </w:pPr>
      <w:r>
        <w:rPr>
          <w:rFonts w:eastAsia="Georgia" w:hAnsi="Georgia" w:cs="Georgia"/>
          <w:color w:val="000000"/>
        </w:rPr>
        <w:t xml:space="preserve">Uncertainty in site‑level proportions was quantified using binomial confidence intervals for each class at each site, based on </w:t>
      </w:r>
      <m:oMath>
        <m:r>
          <w:rPr>
            <w:rFonts w:ascii="Cambria Math" w:hAnsi="Cambria Math"/>
            <w:color w:val="000000"/>
          </w:rPr>
          <m:t>N</m:t>
        </m:r>
        <m:r>
          <m:rPr>
            <m:sty m:val="p"/>
          </m:rPr>
          <w:rPr>
            <w:rFonts w:ascii="Cambria Math" w:hAnsi="Cambria Math"/>
            <w:color w:val="000000"/>
          </w:rPr>
          <m:t>=100</m:t>
        </m:r>
      </m:oMath>
      <w:r>
        <w:rPr>
          <w:rFonts w:eastAsia="Georgia" w:hAnsi="Georgia" w:cs="Georgia"/>
          <w:color w:val="000000"/>
        </w:rPr>
        <w:t xml:space="preserve"> measurements per site. These intervals are reported alongside the point estimates to make clear that, although the data show strong trends, the Najd and Red Sea percentages are still subject to sampling variability at each road‑cut.</w:t>
      </w:r>
      <w:bookmarkStart w:id="23" w:name="fnref3_15"/>
      <w:bookmarkEnd w:id="23"/>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4789C991" w14:textId="77777777" w:rsidR="008C5E94" w:rsidRDefault="00E94D79">
      <w:pPr>
        <w:spacing w:before="315" w:after="105" w:line="360" w:lineRule="auto"/>
        <w:ind w:left="-30"/>
      </w:pPr>
      <w:bookmarkStart w:id="24" w:name="bm_3_6_visualisation"/>
      <w:r>
        <w:rPr>
          <w:rFonts w:eastAsia="Georgia" w:hAnsi="Georgia" w:cs="Georgia"/>
          <w:b/>
          <w:color w:val="000000"/>
          <w:sz w:val="24"/>
        </w:rPr>
        <w:t>3.6 Visualisation</w:t>
      </w:r>
      <w:bookmarkEnd w:id="24"/>
    </w:p>
    <w:p w14:paraId="0C0689C9" w14:textId="77777777" w:rsidR="008C5E94" w:rsidRDefault="00E94D79">
      <w:pPr>
        <w:spacing w:after="210" w:line="360" w:lineRule="auto"/>
      </w:pPr>
      <w:r>
        <w:rPr>
          <w:rFonts w:eastAsia="Georgia" w:hAnsi="Georgia" w:cs="Georgia"/>
          <w:color w:val="000000"/>
        </w:rPr>
        <w:t xml:space="preserve">Orientation patterns were visualised using circular rose diagrams and mean‑vector compass plots for each site. In addition, a stacked bar chart summarises the three‑way composition (Najd, Red Sea, Other) for all five sites, and a single table collates the key statistics (N, mean direction, </w:t>
      </w:r>
      <m:oMath>
        <m:r>
          <w:rPr>
            <w:rFonts w:ascii="Cambria Math" w:hAnsi="Cambria Math"/>
            <w:color w:val="000000"/>
          </w:rPr>
          <m:t>R</m:t>
        </m:r>
      </m:oMath>
      <w:r>
        <w:rPr>
          <w:rFonts w:eastAsia="Georgia" w:hAnsi="Georgia" w:cs="Georgia"/>
          <w:color w:val="000000"/>
        </w:rPr>
        <w:t>, Rayleigh p, and class percentages) for convenient reference.</w:t>
      </w:r>
      <w:bookmarkStart w:id="25" w:name="fnref3_16"/>
      <w:bookmarkEnd w:id="25"/>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71E089C8" w14:textId="77777777" w:rsidR="008C5E94" w:rsidRDefault="00E94D79">
      <w:pPr>
        <w:spacing w:before="210" w:after="0" w:line="360" w:lineRule="auto"/>
      </w:pPr>
      <w:r>
        <w:rPr>
          <w:noProof/>
        </w:rPr>
      </w:r>
      <w:r>
        <w:rPr>
          <w:noProof/>
        </w:rPr>
        <w:pict w14:anchorId="74D92C78">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E12AC7A" w14:textId="77777777" w:rsidR="008C5E94" w:rsidRDefault="00E94D79">
      <w:pPr>
        <w:spacing w:after="210" w:line="360" w:lineRule="auto"/>
      </w:pPr>
      <w:r>
        <w:rPr>
          <w:rFonts w:eastAsia="Georgia" w:hAnsi="Georgia" w:cs="Georgia"/>
          <w:color w:val="000000"/>
        </w:rPr>
        <w:t>If you’d like, I can also draft a short “Methods – overview” paragraph that you can place at the end of the Background section, so the reader feels the smooth transition from the Najd engineering narrative into this statistical workflow.</w:t>
      </w:r>
    </w:p>
    <w:p w14:paraId="3D6F90AC" w14:textId="77777777" w:rsidR="008C5E94" w:rsidRDefault="00E94D79">
      <w:pPr>
        <w:spacing w:line="360" w:lineRule="auto"/>
      </w:pPr>
      <w:r>
        <w:rPr>
          <w:rFonts w:eastAsia="Georgia" w:hAnsi="Georgia" w:cs="Georgia"/>
          <w:color w:val="000000"/>
        </w:rPr>
        <w:t>⁂</w:t>
      </w:r>
    </w:p>
    <w:p w14:paraId="7C0DF3D7" w14:textId="77777777" w:rsidR="008C5E94" w:rsidRDefault="00E94D79">
      <w:pPr>
        <w:spacing w:before="210" w:after="0" w:line="360" w:lineRule="auto"/>
      </w:pPr>
      <w:r>
        <w:rPr>
          <w:noProof/>
        </w:rPr>
      </w:r>
      <w:r>
        <w:rPr>
          <w:noProof/>
        </w:rPr>
        <w:pict w14:anchorId="738F02CE">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E508BBF" w14:textId="77777777" w:rsidR="008C5E94" w:rsidRDefault="00E94D79">
      <w:pPr>
        <w:numPr>
          <w:ilvl w:val="0"/>
          <w:numId w:val="3"/>
        </w:numPr>
        <w:spacing w:after="210" w:line="360" w:lineRule="auto"/>
      </w:pPr>
      <w:bookmarkStart w:id="26" w:name="fn1"/>
      <w:bookmarkEnd w:id="26"/>
      <w:r>
        <w:rPr>
          <w:rFonts w:eastAsia="Georgia" w:hAnsi="Georgia" w:cs="Georgia"/>
          <w:color w:val="000000"/>
          <w:sz w:val="18"/>
        </w:rPr>
        <w:t xml:space="preserve">Coaching-in-Esports-Bader-Sabtan.pdf </w:t>
      </w:r>
    </w:p>
    <w:p w14:paraId="330DF5FB" w14:textId="77777777" w:rsidR="008C5E94" w:rsidRDefault="00E94D79">
      <w:pPr>
        <w:numPr>
          <w:ilvl w:val="0"/>
          <w:numId w:val="3"/>
        </w:numPr>
        <w:spacing w:after="210" w:line="360" w:lineRule="auto"/>
      </w:pPr>
      <w:bookmarkStart w:id="27" w:name="fn2"/>
      <w:bookmarkEnd w:id="27"/>
      <w:r>
        <w:rPr>
          <w:rFonts w:eastAsia="Georgia" w:hAnsi="Georgia" w:cs="Georgia"/>
          <w:color w:val="000000"/>
          <w:sz w:val="18"/>
        </w:rPr>
        <w:t xml:space="preserve">Background-najd-fault-system.pdf   </w:t>
      </w:r>
    </w:p>
    <w:p w14:paraId="39A25E9F" w14:textId="77777777" w:rsidR="008C5E94" w:rsidRDefault="00E94D79">
      <w:pPr>
        <w:numPr>
          <w:ilvl w:val="0"/>
          <w:numId w:val="3"/>
        </w:numPr>
        <w:spacing w:after="210" w:line="360" w:lineRule="auto"/>
      </w:pPr>
      <w:bookmarkStart w:id="28" w:name="fn3"/>
      <w:bookmarkEnd w:id="28"/>
      <w:r>
        <w:rPr>
          <w:rFonts w:eastAsia="Georgia" w:hAnsi="Georgia" w:cs="Georgia"/>
          <w:color w:val="000000"/>
          <w:sz w:val="18"/>
        </w:rPr>
        <w:t xml:space="preserve">p-guide-2.html                 </w:t>
      </w:r>
    </w:p>
    <w:sectPr w:rsidR="008C5E94">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neue">
    <w:altName w:val="Arial"/>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5793A"/>
    <w:multiLevelType w:val="hybridMultilevel"/>
    <w:tmpl w:val="FB08E3B8"/>
    <w:lvl w:ilvl="0" w:tplc="86A6099A">
      <w:start w:val="1"/>
      <w:numFmt w:val="decimal"/>
      <w:lvlText w:val="%1."/>
      <w:lvlJc w:val="left"/>
      <w:pPr>
        <w:tabs>
          <w:tab w:val="num" w:pos="900"/>
        </w:tabs>
        <w:ind w:left="540" w:hanging="360"/>
      </w:pPr>
    </w:lvl>
    <w:lvl w:ilvl="1" w:tplc="CC5462E0">
      <w:numFmt w:val="decimal"/>
      <w:lvlText w:val=""/>
      <w:lvlJc w:val="left"/>
    </w:lvl>
    <w:lvl w:ilvl="2" w:tplc="C3B0E428">
      <w:numFmt w:val="decimal"/>
      <w:lvlText w:val=""/>
      <w:lvlJc w:val="left"/>
    </w:lvl>
    <w:lvl w:ilvl="3" w:tplc="6DFA98F6">
      <w:numFmt w:val="decimal"/>
      <w:lvlText w:val=""/>
      <w:lvlJc w:val="left"/>
    </w:lvl>
    <w:lvl w:ilvl="4" w:tplc="85B4DC70">
      <w:numFmt w:val="decimal"/>
      <w:lvlText w:val=""/>
      <w:lvlJc w:val="left"/>
    </w:lvl>
    <w:lvl w:ilvl="5" w:tplc="3F341B9C">
      <w:numFmt w:val="decimal"/>
      <w:lvlText w:val=""/>
      <w:lvlJc w:val="left"/>
    </w:lvl>
    <w:lvl w:ilvl="6" w:tplc="A78ACA82">
      <w:numFmt w:val="decimal"/>
      <w:lvlText w:val=""/>
      <w:lvlJc w:val="left"/>
    </w:lvl>
    <w:lvl w:ilvl="7" w:tplc="848C59DA">
      <w:numFmt w:val="decimal"/>
      <w:lvlText w:val=""/>
      <w:lvlJc w:val="left"/>
    </w:lvl>
    <w:lvl w:ilvl="8" w:tplc="69FEB524">
      <w:numFmt w:val="decimal"/>
      <w:lvlText w:val=""/>
      <w:lvlJc w:val="left"/>
    </w:lvl>
  </w:abstractNum>
  <w:abstractNum w:abstractNumId="1" w15:restartNumberingAfterBreak="0">
    <w:nsid w:val="2E3A19A0"/>
    <w:multiLevelType w:val="hybridMultilevel"/>
    <w:tmpl w:val="ACF819FE"/>
    <w:lvl w:ilvl="0" w:tplc="78BE7390">
      <w:start w:val="1"/>
      <w:numFmt w:val="bullet"/>
      <w:lvlText w:val=""/>
      <w:lvlJc w:val="left"/>
      <w:pPr>
        <w:tabs>
          <w:tab w:val="num" w:pos="900"/>
        </w:tabs>
        <w:ind w:left="540" w:hanging="360"/>
      </w:pPr>
      <w:rPr>
        <w:rFonts w:ascii="Symbol" w:hAnsi="Symbol" w:hint="default"/>
      </w:rPr>
    </w:lvl>
    <w:lvl w:ilvl="1" w:tplc="B59A71A4">
      <w:numFmt w:val="decimal"/>
      <w:lvlText w:val=""/>
      <w:lvlJc w:val="left"/>
    </w:lvl>
    <w:lvl w:ilvl="2" w:tplc="2C9245C8">
      <w:numFmt w:val="decimal"/>
      <w:lvlText w:val=""/>
      <w:lvlJc w:val="left"/>
    </w:lvl>
    <w:lvl w:ilvl="3" w:tplc="A01E250E">
      <w:numFmt w:val="decimal"/>
      <w:lvlText w:val=""/>
      <w:lvlJc w:val="left"/>
    </w:lvl>
    <w:lvl w:ilvl="4" w:tplc="E75C6D84">
      <w:numFmt w:val="decimal"/>
      <w:lvlText w:val=""/>
      <w:lvlJc w:val="left"/>
    </w:lvl>
    <w:lvl w:ilvl="5" w:tplc="02803FCA">
      <w:numFmt w:val="decimal"/>
      <w:lvlText w:val=""/>
      <w:lvlJc w:val="left"/>
    </w:lvl>
    <w:lvl w:ilvl="6" w:tplc="98383EB0">
      <w:numFmt w:val="decimal"/>
      <w:lvlText w:val=""/>
      <w:lvlJc w:val="left"/>
    </w:lvl>
    <w:lvl w:ilvl="7" w:tplc="383A659A">
      <w:numFmt w:val="decimal"/>
      <w:lvlText w:val=""/>
      <w:lvlJc w:val="left"/>
    </w:lvl>
    <w:lvl w:ilvl="8" w:tplc="46661344">
      <w:numFmt w:val="decimal"/>
      <w:lvlText w:val=""/>
      <w:lvlJc w:val="left"/>
    </w:lvl>
  </w:abstractNum>
  <w:abstractNum w:abstractNumId="2" w15:restartNumberingAfterBreak="0">
    <w:nsid w:val="5ED263F4"/>
    <w:multiLevelType w:val="hybridMultilevel"/>
    <w:tmpl w:val="865AC218"/>
    <w:lvl w:ilvl="0" w:tplc="C916CE92">
      <w:numFmt w:val="decimal"/>
      <w:lvlText w:val=""/>
      <w:lvlJc w:val="left"/>
    </w:lvl>
    <w:lvl w:ilvl="1" w:tplc="39000036">
      <w:numFmt w:val="decimal"/>
      <w:lvlText w:val=""/>
      <w:lvlJc w:val="left"/>
    </w:lvl>
    <w:lvl w:ilvl="2" w:tplc="8ECEE530">
      <w:numFmt w:val="decimal"/>
      <w:lvlText w:val=""/>
      <w:lvlJc w:val="left"/>
    </w:lvl>
    <w:lvl w:ilvl="3" w:tplc="DE62DE4E">
      <w:numFmt w:val="decimal"/>
      <w:lvlText w:val=""/>
      <w:lvlJc w:val="left"/>
    </w:lvl>
    <w:lvl w:ilvl="4" w:tplc="D7C66DCA">
      <w:numFmt w:val="decimal"/>
      <w:lvlText w:val=""/>
      <w:lvlJc w:val="left"/>
    </w:lvl>
    <w:lvl w:ilvl="5" w:tplc="7880288C">
      <w:numFmt w:val="decimal"/>
      <w:lvlText w:val=""/>
      <w:lvlJc w:val="left"/>
    </w:lvl>
    <w:lvl w:ilvl="6" w:tplc="DA1C21F0">
      <w:numFmt w:val="decimal"/>
      <w:lvlText w:val=""/>
      <w:lvlJc w:val="left"/>
    </w:lvl>
    <w:lvl w:ilvl="7" w:tplc="7052568A">
      <w:numFmt w:val="decimal"/>
      <w:lvlText w:val=""/>
      <w:lvlJc w:val="left"/>
    </w:lvl>
    <w:lvl w:ilvl="8" w:tplc="4290EBAA">
      <w:numFmt w:val="decimal"/>
      <w:lvlText w:val=""/>
      <w:lvlJc w:val="left"/>
    </w:lvl>
  </w:abstractNum>
  <w:num w:numId="1" w16cid:durableId="1709913089">
    <w:abstractNumId w:val="1"/>
  </w:num>
  <w:num w:numId="2" w16cid:durableId="1960598180">
    <w:abstractNumId w:val="2"/>
  </w:num>
  <w:num w:numId="3" w16cid:durableId="158277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E94"/>
    <w:rsid w:val="00401749"/>
    <w:rsid w:val="005E057F"/>
    <w:rsid w:val="006E3938"/>
    <w:rsid w:val="008C5E94"/>
    <w:rsid w:val="00E94D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4B265C3E"/>
  <w15:docId w15:val="{7B7C0D72-D6C9-419C-A9D2-DC9D5B83B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890</Words>
  <Characters>5145</Characters>
  <Application>Microsoft Office Word</Application>
  <DocSecurity>0</DocSecurity>
  <Lines>78</Lines>
  <Paragraphs>29</Paragraphs>
  <ScaleCrop>false</ScaleCrop>
  <Company/>
  <LinksUpToDate>false</LinksUpToDate>
  <CharactersWithSpaces>6017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Bader Sabtan</cp:lastModifiedBy>
  <cp:revision>3</cp:revision>
  <dcterms:created xsi:type="dcterms:W3CDTF">2026-05-24T01:21:00Z</dcterms:created>
  <dcterms:modified xsi:type="dcterms:W3CDTF">2026-05-24T01:21:00Z</dcterms:modified>
</cp:coreProperties>
</file>