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ABC Manufacturing Pvt Ltd</w:t>
      </w:r>
    </w:p>
    <w:p>
      <w:pPr>
        <w:jc w:val="center"/>
      </w:pPr>
      <w:r>
        <w:rPr>
          <w:sz w:val="22"/>
        </w:rPr>
        <w:t>Borrower Profile and Preliminary Credit Note</w:t>
      </w:r>
    </w:p>
    <w:p>
      <w:pPr>
        <w:pStyle w:val="Heading1"/>
      </w:pPr>
      <w:r>
        <w:t>1. Borrower Overview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Customer ID</w:t>
            </w:r>
          </w:p>
        </w:tc>
        <w:tc>
          <w:tcPr>
            <w:tcW w:type="dxa" w:w="5040"/>
          </w:tcPr>
          <w:p>
            <w:r>
              <w:t>CUST_000001</w:t>
            </w:r>
          </w:p>
        </w:tc>
      </w:tr>
      <w:tr>
        <w:tc>
          <w:tcPr>
            <w:tcW w:type="dxa" w:w="5040"/>
          </w:tcPr>
          <w:p>
            <w:r>
              <w:t>Industry</w:t>
            </w:r>
          </w:p>
        </w:tc>
        <w:tc>
          <w:tcPr>
            <w:tcW w:type="dxa" w:w="5040"/>
          </w:tcPr>
          <w:p>
            <w:r>
              <w:t>Auto Components Manufacturing</w:t>
            </w:r>
          </w:p>
        </w:tc>
      </w:tr>
      <w:tr>
        <w:tc>
          <w:tcPr>
            <w:tcW w:type="dxa" w:w="5040"/>
          </w:tcPr>
          <w:p>
            <w:r>
              <w:t>Location</w:t>
            </w:r>
          </w:p>
        </w:tc>
        <w:tc>
          <w:tcPr>
            <w:tcW w:type="dxa" w:w="5040"/>
          </w:tcPr>
          <w:p>
            <w:r>
              <w:t>Pune, Maharashtra, India</w:t>
            </w:r>
          </w:p>
        </w:tc>
      </w:tr>
      <w:tr>
        <w:tc>
          <w:tcPr>
            <w:tcW w:type="dxa" w:w="5040"/>
          </w:tcPr>
          <w:p>
            <w:r>
              <w:t>Incorporated</w:t>
            </w:r>
          </w:p>
        </w:tc>
        <w:tc>
          <w:tcPr>
            <w:tcW w:type="dxa" w:w="5040"/>
          </w:tcPr>
          <w:p>
            <w:r>
              <w:t>15 April 2012</w:t>
            </w:r>
          </w:p>
        </w:tc>
      </w:tr>
      <w:tr>
        <w:tc>
          <w:tcPr>
            <w:tcW w:type="dxa" w:w="5040"/>
          </w:tcPr>
          <w:p>
            <w:r>
              <w:t>Bank Relationship</w:t>
            </w:r>
          </w:p>
        </w:tc>
        <w:tc>
          <w:tcPr>
            <w:tcW w:type="dxa" w:w="5040"/>
          </w:tcPr>
          <w:p>
            <w:r>
              <w:t>Since June 2019</w:t>
            </w:r>
          </w:p>
        </w:tc>
      </w:tr>
      <w:tr>
        <w:tc>
          <w:tcPr>
            <w:tcW w:type="dxa" w:w="5040"/>
          </w:tcPr>
          <w:p>
            <w:r>
              <w:t>Current Risk Classification</w:t>
            </w:r>
          </w:p>
        </w:tc>
        <w:tc>
          <w:tcPr>
            <w:tcW w:type="dxa" w:w="5040"/>
          </w:tcPr>
          <w:p>
            <w:r>
              <w:t>MEDIUM</w:t>
            </w:r>
          </w:p>
        </w:tc>
      </w:tr>
    </w:tbl>
    <w:p>
      <w:pPr>
        <w:pStyle w:val="Heading1"/>
      </w:pPr>
      <w:r>
        <w:t>2. Current Credit Request</w:t>
      </w:r>
    </w:p>
    <w:p>
      <w:r>
        <w:t>ABC Manufacturing Pvt Ltd has requested a working capital facility of INR 50.0 million for raw-material procurement and operating expenses. The application declares annual revenue of INR 850.0 million, EBITDA of INR 105.0 million and total debt of INR 83.0 million.</w:t>
      </w:r>
    </w:p>
    <w:p>
      <w:pPr>
        <w:pStyle w:val="Heading1"/>
      </w:pPr>
      <w:r>
        <w:t>3. Existing Banking Exposure</w:t>
      </w:r>
    </w:p>
    <w:p>
      <w:r>
        <w:t>The borrower currently has three active facilities with aggregate outstanding exposure of INR 83.0 million: a term loan of INR 43.0 million, a working capital facility of INR 25.0 million and equipment finance of INR 15.0 million.</w:t>
      </w:r>
    </w:p>
    <w:p>
      <w:pPr>
        <w:pStyle w:val="Heading1"/>
      </w:pPr>
      <w:r>
        <w:t>4. Management and Related Parties</w:t>
      </w:r>
    </w:p>
    <w:p>
      <w:r>
        <w:t>Rajesh Sharma is Managing Director with 42% ownership. Anita Sharma holds 28% and Vikram Mehta holds 10%. XYZ Holdings Pvt Ltd is recorded as a director-owned related entity linked to Rajesh Sharma.</w:t>
      </w:r>
    </w:p>
    <w:p>
      <w:pPr>
        <w:pStyle w:val="Heading1"/>
      </w:pPr>
      <w:r>
        <w:t>5. Preliminary Observations</w:t>
      </w:r>
    </w:p>
    <w:p>
      <w:pPr>
        <w:pStyle w:val="ListBullet"/>
      </w:pPr>
      <w:r>
        <w:t>Repayment behavior has weakened over time, with longer payment delays observed during 2026.</w:t>
      </w:r>
    </w:p>
    <w:p>
      <w:pPr>
        <w:pStyle w:val="ListBullet"/>
      </w:pPr>
      <w:r>
        <w:t>The borrower has requested additional working-capital financing while already carrying material existing exposure.</w:t>
      </w:r>
    </w:p>
    <w:p>
      <w:pPr>
        <w:pStyle w:val="ListBullet"/>
      </w:pPr>
      <w:r>
        <w:t>A complete underwriting assessment requires reconciliation of application data with audited financial statements, transaction behavior, bureau information and policy requirements.</w:t>
      </w:r>
    </w:p>
    <w:p>
      <w:pPr>
        <w:pStyle w:val="Heading1"/>
      </w:pPr>
      <w:r>
        <w:t>6. Source Note</w:t>
      </w:r>
    </w:p>
    <w:p>
      <w:r>
        <w:t>This is synthetic source data created for the AI Credit Intelligence engineering project. It is intentionally treated as an input document; no AI-generated conclusions are embedded in this source file.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