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bffad1a218993137209ea7afaf6ea97345a0721"/>
    <w:p>
      <w:pPr>
        <w:pStyle w:val="Heading1"/>
      </w:pPr>
      <w:r>
        <w:t xml:space="preserve">Banking API Integration – Enterprise Grade Documentation (Swagger + Sequence + Multi-Tenant)</w:t>
      </w:r>
    </w:p>
    <w:p>
      <w:r>
        <w:pict>
          <v:rect style="width:0;height:1.5pt" o:hralign="center" o:hrstd="t" o:hr="t"/>
        </w:pict>
      </w:r>
    </w:p>
    <w:bookmarkStart w:id="21" w:name="enterprise-architecture-overview"/>
    <w:p>
      <w:pPr>
        <w:pStyle w:val="Heading2"/>
      </w:pPr>
      <w:r>
        <w:t xml:space="preserve">1. Enterprise Architecture Overview</w:t>
      </w:r>
    </w:p>
    <w:bookmarkStart w:id="20" w:name="layered-architecture"/>
    <w:p>
      <w:pPr>
        <w:pStyle w:val="Heading3"/>
      </w:pPr>
      <w:r>
        <w:t xml:space="preserve">Layered Architecture</w:t>
      </w:r>
    </w:p>
    <w:p>
      <w:pPr>
        <w:pStyle w:val="FirstParagraph"/>
      </w:pPr>
      <w:r>
        <w:t xml:space="preserve">Client Apps (Mobile / LOS / LMS / CRM)</w:t>
      </w:r>
      <w:r>
        <w:t xml:space="preserve"> </w:t>
      </w:r>
      <w:r>
        <w:t xml:space="preserve">→ API Gateway (Security + Routing)</w:t>
      </w:r>
      <w:r>
        <w:t xml:space="preserve"> </w:t>
      </w:r>
      <w:r>
        <w:t xml:space="preserve">→ Middleware / ESB (Transformation + Orchestration)</w:t>
      </w:r>
      <w:r>
        <w:t xml:space="preserve"> </w:t>
      </w:r>
      <w:r>
        <w:t xml:space="preserve">→ Microservices Layer (Customer / Loan / Payment Services)</w:t>
      </w:r>
      <w:r>
        <w:t xml:space="preserve"> </w:t>
      </w:r>
      <w:r>
        <w:t xml:space="preserve">→ Core Banking System (CBS)</w:t>
      </w:r>
      <w:r>
        <w:t xml:space="preserve"> </w:t>
      </w:r>
      <w:r>
        <w:t xml:space="preserve">→ Database Layer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detailed-sequence-flow-bank-grade"/>
    <w:p>
      <w:pPr>
        <w:pStyle w:val="Heading2"/>
      </w:pPr>
      <w:r>
        <w:t xml:space="preserve">2. Detailed Sequence Flow (Bank-Grade)</w:t>
      </w:r>
    </w:p>
    <w:bookmarkStart w:id="22" w:name="use-case-customer-creation-api"/>
    <w:p>
      <w:pPr>
        <w:pStyle w:val="Heading3"/>
      </w:pPr>
      <w:r>
        <w:t xml:space="preserve">Use Case: Customer Creation API</w:t>
      </w:r>
    </w:p>
    <w:p>
      <w:pPr>
        <w:pStyle w:val="Compact"/>
        <w:numPr>
          <w:ilvl w:val="0"/>
          <w:numId w:val="1001"/>
        </w:numPr>
      </w:pPr>
      <w:r>
        <w:t xml:space="preserve">Client sends request (POST /customer)</w:t>
      </w:r>
    </w:p>
    <w:p>
      <w:pPr>
        <w:pStyle w:val="Compact"/>
        <w:numPr>
          <w:ilvl w:val="0"/>
          <w:numId w:val="1001"/>
        </w:numPr>
      </w:pPr>
      <w:r>
        <w:t xml:space="preserve">API Gateway validates:</w:t>
      </w:r>
    </w:p>
    <w:p>
      <w:pPr>
        <w:pStyle w:val="Compact"/>
        <w:numPr>
          <w:ilvl w:val="1"/>
          <w:numId w:val="1002"/>
        </w:numPr>
      </w:pPr>
      <w:r>
        <w:t xml:space="preserve">Token</w:t>
      </w:r>
    </w:p>
    <w:p>
      <w:pPr>
        <w:pStyle w:val="Compact"/>
        <w:numPr>
          <w:ilvl w:val="1"/>
          <w:numId w:val="1002"/>
        </w:numPr>
      </w:pPr>
      <w:r>
        <w:t xml:space="preserve">Rate limit</w:t>
      </w:r>
    </w:p>
    <w:p>
      <w:pPr>
        <w:pStyle w:val="Compact"/>
        <w:numPr>
          <w:ilvl w:val="0"/>
          <w:numId w:val="1001"/>
        </w:numPr>
      </w:pPr>
      <w:r>
        <w:t xml:space="preserve">Request forwarded to Middleware</w:t>
      </w:r>
    </w:p>
    <w:p>
      <w:pPr>
        <w:pStyle w:val="Compact"/>
        <w:numPr>
          <w:ilvl w:val="0"/>
          <w:numId w:val="1001"/>
        </w:numPr>
      </w:pPr>
      <w:r>
        <w:t xml:space="preserve">Middleware:</w:t>
      </w:r>
    </w:p>
    <w:p>
      <w:pPr>
        <w:pStyle w:val="Compact"/>
        <w:numPr>
          <w:ilvl w:val="1"/>
          <w:numId w:val="1003"/>
        </w:numPr>
      </w:pPr>
      <w:r>
        <w:t xml:space="preserve">Adds tenant context</w:t>
      </w:r>
    </w:p>
    <w:p>
      <w:pPr>
        <w:pStyle w:val="Compact"/>
        <w:numPr>
          <w:ilvl w:val="1"/>
          <w:numId w:val="1003"/>
        </w:numPr>
      </w:pPr>
      <w:r>
        <w:t xml:space="preserve">Transforms JSON → CBS format</w:t>
      </w:r>
    </w:p>
    <w:p>
      <w:pPr>
        <w:pStyle w:val="Compact"/>
        <w:numPr>
          <w:ilvl w:val="0"/>
          <w:numId w:val="1001"/>
        </w:numPr>
      </w:pPr>
      <w:r>
        <w:t xml:space="preserve">Microservice validates business rules</w:t>
      </w:r>
    </w:p>
    <w:p>
      <w:pPr>
        <w:pStyle w:val="Compact"/>
        <w:numPr>
          <w:ilvl w:val="0"/>
          <w:numId w:val="1001"/>
        </w:numPr>
      </w:pPr>
      <w:r>
        <w:t xml:space="preserve">CBS persists data</w:t>
      </w:r>
    </w:p>
    <w:p>
      <w:pPr>
        <w:pStyle w:val="Compact"/>
        <w:numPr>
          <w:ilvl w:val="0"/>
          <w:numId w:val="1001"/>
        </w:numPr>
      </w:pPr>
      <w:r>
        <w:t xml:space="preserve">Response returned via same path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ulti-tenant-api-design-very-important"/>
    <w:p>
      <w:pPr>
        <w:pStyle w:val="Heading2"/>
      </w:pPr>
      <w:r>
        <w:t xml:space="preserve">3. Multi-Tenant API Design (VERY IMPORTANT)</w:t>
      </w:r>
    </w:p>
    <w:bookmarkStart w:id="24" w:name="tenant-identification"/>
    <w:p>
      <w:pPr>
        <w:pStyle w:val="Heading3"/>
      </w:pPr>
      <w:r>
        <w:t xml:space="preserve">Tenant Identification</w:t>
      </w:r>
    </w:p>
    <w:p>
      <w:pPr>
        <w:pStyle w:val="FirstParagraph"/>
      </w:pPr>
      <w:r>
        <w:t xml:space="preserve">Each request must carry tenant context:</w:t>
      </w:r>
    </w:p>
    <w:p>
      <w:pPr>
        <w:pStyle w:val="BodyText"/>
      </w:pPr>
      <w:r>
        <w:t xml:space="preserve">Headers:</w:t>
      </w:r>
      <w:r>
        <w:t xml:space="preserve"> </w:t>
      </w:r>
      <w:r>
        <w:t xml:space="preserve">- X-Tenant-ID: BOB</w:t>
      </w:r>
      <w:r>
        <w:t xml:space="preserve"> </w:t>
      </w:r>
      <w:r>
        <w:t xml:space="preserve">- X-Channel: LOS / MOBILE / BRANCH</w:t>
      </w:r>
    </w:p>
    <w:bookmarkEnd w:id="24"/>
    <w:bookmarkStart w:id="25" w:name="data-isolation"/>
    <w:p>
      <w:pPr>
        <w:pStyle w:val="Heading3"/>
      </w:pPr>
      <w:r>
        <w:t xml:space="preserve">Data Isolation</w:t>
      </w:r>
    </w:p>
    <w:p>
      <w:pPr>
        <w:pStyle w:val="Compact"/>
        <w:numPr>
          <w:ilvl w:val="0"/>
          <w:numId w:val="1004"/>
        </w:numPr>
      </w:pPr>
      <w:r>
        <w:t xml:space="preserve">Separate schema per tenant OR</w:t>
      </w:r>
    </w:p>
    <w:p>
      <w:pPr>
        <w:pStyle w:val="Compact"/>
        <w:numPr>
          <w:ilvl w:val="0"/>
          <w:numId w:val="1004"/>
        </w:numPr>
      </w:pPr>
      <w:r>
        <w:t xml:space="preserve">Shared DB with Tenant ID column</w:t>
      </w:r>
    </w:p>
    <w:bookmarkEnd w:id="25"/>
    <w:bookmarkStart w:id="26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“tenantId”</w:t>
      </w:r>
      <w:r>
        <w:t xml:space="preserve">:</w:t>
      </w:r>
      <w:r>
        <w:t xml:space="preserve"> </w:t>
      </w:r>
      <w:r>
        <w:t xml:space="preserve">“BIL”</w:t>
      </w:r>
      <w:r>
        <w:t xml:space="preserve">,</w:t>
      </w:r>
      <w:r>
        <w:t xml:space="preserve"> </w:t>
      </w:r>
      <w:r>
        <w:t xml:space="preserve">“customerId”</w:t>
      </w:r>
      <w:r>
        <w:t xml:space="preserve">:</w:t>
      </w:r>
      <w:r>
        <w:t xml:space="preserve"> </w:t>
      </w:r>
      <w:r>
        <w:t xml:space="preserve">“C123”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nterprise-api-standards"/>
    <w:p>
      <w:pPr>
        <w:pStyle w:val="Heading2"/>
      </w:pPr>
      <w:r>
        <w:t xml:space="preserve">4. Enterprise API Standards</w:t>
      </w:r>
    </w:p>
    <w:bookmarkStart w:id="28" w:name="naming-convention"/>
    <w:p>
      <w:pPr>
        <w:pStyle w:val="Heading3"/>
      </w:pPr>
      <w:r>
        <w:t xml:space="preserve">Naming Convention</w:t>
      </w:r>
    </w:p>
    <w:p>
      <w:pPr>
        <w:pStyle w:val="Compact"/>
        <w:numPr>
          <w:ilvl w:val="0"/>
          <w:numId w:val="1005"/>
        </w:numPr>
      </w:pPr>
      <w:r>
        <w:t xml:space="preserve">/api/v1/customers</w:t>
      </w:r>
    </w:p>
    <w:p>
      <w:pPr>
        <w:pStyle w:val="Compact"/>
        <w:numPr>
          <w:ilvl w:val="0"/>
          <w:numId w:val="1005"/>
        </w:numPr>
      </w:pPr>
      <w:r>
        <w:t xml:space="preserve">/api/v1/loans</w:t>
      </w:r>
    </w:p>
    <w:bookmarkEnd w:id="28"/>
    <w:bookmarkStart w:id="29" w:name="http-methods"/>
    <w:p>
      <w:pPr>
        <w:pStyle w:val="Heading3"/>
      </w:pPr>
      <w:r>
        <w:t xml:space="preserve">HTTP Methods</w:t>
      </w:r>
    </w:p>
    <w:p>
      <w:pPr>
        <w:pStyle w:val="Compact"/>
        <w:numPr>
          <w:ilvl w:val="0"/>
          <w:numId w:val="1006"/>
        </w:numPr>
      </w:pPr>
      <w:r>
        <w:t xml:space="preserve">GET → Fetch</w:t>
      </w:r>
    </w:p>
    <w:p>
      <w:pPr>
        <w:pStyle w:val="Compact"/>
        <w:numPr>
          <w:ilvl w:val="0"/>
          <w:numId w:val="1006"/>
        </w:numPr>
      </w:pPr>
      <w:r>
        <w:t xml:space="preserve">POST → Create</w:t>
      </w:r>
    </w:p>
    <w:p>
      <w:pPr>
        <w:pStyle w:val="Compact"/>
        <w:numPr>
          <w:ilvl w:val="0"/>
          <w:numId w:val="1006"/>
        </w:numPr>
      </w:pPr>
      <w:r>
        <w:t xml:space="preserve">PUT → Update</w:t>
      </w:r>
    </w:p>
    <w:p>
      <w:pPr>
        <w:pStyle w:val="Compact"/>
        <w:numPr>
          <w:ilvl w:val="0"/>
          <w:numId w:val="1006"/>
        </w:numPr>
      </w:pPr>
      <w:r>
        <w:t xml:space="preserve">DELETE → Remove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afaa89ae8bc69c39b38711362844a9ef9985652"/>
    <w:p>
      <w:pPr>
        <w:pStyle w:val="Heading2"/>
      </w:pPr>
      <w:r>
        <w:t xml:space="preserve">5. Swagger / OpenAPI Specification (Machine Readable)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3.0.0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Banking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/api/v1/customer/create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Customer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customerId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dob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Success</w:t>
      </w:r>
    </w:p>
    <w:p>
      <w:r>
        <w:pict>
          <v:rect style="width:0;height:1.5pt" o:hralign="center" o:hrstd="t" o:hr="t"/>
        </w:pict>
      </w:r>
    </w:p>
    <w:bookmarkEnd w:id="31"/>
    <w:bookmarkStart w:id="34" w:name="detailed-json-schema-bank-grade"/>
    <w:p>
      <w:pPr>
        <w:pStyle w:val="Heading2"/>
      </w:pPr>
      <w:r>
        <w:t xml:space="preserve">6. Detailed JSON Schema (Bank Grade)</w:t>
      </w:r>
    </w:p>
    <w:bookmarkStart w:id="32" w:name="request-schema"/>
    <w:p>
      <w:pPr>
        <w:pStyle w:val="Heading3"/>
      </w:pPr>
      <w:r>
        <w:t xml:space="preserve">Request Schema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“header”</w:t>
      </w:r>
      <w:r>
        <w:t xml:space="preserve">: {</w:t>
      </w:r>
      <w:r>
        <w:t xml:space="preserve"> </w:t>
      </w:r>
      <w:r>
        <w:t xml:space="preserve">“tenantId”</w:t>
      </w:r>
      <w:r>
        <w:t xml:space="preserve">:</w:t>
      </w:r>
      <w:r>
        <w:t xml:space="preserve"> </w:t>
      </w:r>
      <w:r>
        <w:t xml:space="preserve">“BIL”</w:t>
      </w:r>
      <w:r>
        <w:t xml:space="preserve">,</w:t>
      </w:r>
      <w:r>
        <w:t xml:space="preserve"> </w:t>
      </w:r>
      <w:r>
        <w:t xml:space="preserve">“channel”</w:t>
      </w:r>
      <w:r>
        <w:t xml:space="preserve">:</w:t>
      </w:r>
      <w:r>
        <w:t xml:space="preserve"> </w:t>
      </w:r>
      <w:r>
        <w:t xml:space="preserve">“LOS”</w:t>
      </w:r>
      <w:r>
        <w:t xml:space="preserve">,</w:t>
      </w:r>
      <w:r>
        <w:t xml:space="preserve"> </w:t>
      </w:r>
      <w:r>
        <w:t xml:space="preserve">“requestId”</w:t>
      </w:r>
      <w:r>
        <w:t xml:space="preserve">:</w:t>
      </w:r>
      <w:r>
        <w:t xml:space="preserve"> </w:t>
      </w:r>
      <w:r>
        <w:t xml:space="preserve">“UUID”</w:t>
      </w:r>
      <w:r>
        <w:t xml:space="preserve">,</w:t>
      </w:r>
      <w:r>
        <w:t xml:space="preserve"> </w:t>
      </w:r>
      <w:r>
        <w:t xml:space="preserve">“timestamp”</w:t>
      </w:r>
      <w:r>
        <w:t xml:space="preserve">:</w:t>
      </w:r>
      <w:r>
        <w:t xml:space="preserve"> </w:t>
      </w:r>
      <w:r>
        <w:t xml:space="preserve">“ISO8601”</w:t>
      </w:r>
      <w:r>
        <w:t xml:space="preserve"> </w:t>
      </w:r>
      <w:r>
        <w:t xml:space="preserve">},</w:t>
      </w:r>
      <w:r>
        <w:t xml:space="preserve"> </w:t>
      </w:r>
      <w:r>
        <w:t xml:space="preserve">“body”</w:t>
      </w:r>
      <w:r>
        <w:t xml:space="preserve">: {</w:t>
      </w:r>
      <w:r>
        <w:t xml:space="preserve"> </w:t>
      </w:r>
      <w:r>
        <w:t xml:space="preserve">“customerId”</w:t>
      </w:r>
      <w:r>
        <w:t xml:space="preserve">:</w:t>
      </w:r>
      <w:r>
        <w:t xml:space="preserve"> </w:t>
      </w:r>
      <w:r>
        <w:t xml:space="preserve">“CUST123”</w:t>
      </w:r>
      <w:r>
        <w:t xml:space="preserve">,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“John Doe”</w:t>
      </w:r>
      <w:r>
        <w:t xml:space="preserve">,</w:t>
      </w:r>
      <w:r>
        <w:t xml:space="preserve"> </w:t>
      </w:r>
      <w:r>
        <w:t xml:space="preserve">“dob”</w:t>
      </w:r>
      <w:r>
        <w:t xml:space="preserve">:</w:t>
      </w:r>
      <w:r>
        <w:t xml:space="preserve"> </w:t>
      </w:r>
      <w:r>
        <w:t xml:space="preserve">“1990-01-01”</w:t>
      </w:r>
      <w:r>
        <w:t xml:space="preserve">,</w:t>
      </w:r>
      <w:r>
        <w:t xml:space="preserve"> </w:t>
      </w:r>
      <w:r>
        <w:t xml:space="preserve">“kycStatus”</w:t>
      </w:r>
      <w:r>
        <w:t xml:space="preserve">:</w:t>
      </w:r>
      <w:r>
        <w:t xml:space="preserve"> </w:t>
      </w:r>
      <w:r>
        <w:t xml:space="preserve">“VERIFIED”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32"/>
    <w:bookmarkStart w:id="33" w:name="response-schema"/>
    <w:p>
      <w:pPr>
        <w:pStyle w:val="Heading3"/>
      </w:pPr>
      <w:r>
        <w:t xml:space="preserve">Response Schema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“header”</w:t>
      </w:r>
      <w:r>
        <w:t xml:space="preserve">: {</w:t>
      </w:r>
      <w:r>
        <w:t xml:space="preserve"> </w:t>
      </w:r>
      <w:r>
        <w:t xml:space="preserve">“status”</w:t>
      </w:r>
      <w:r>
        <w:t xml:space="preserve">:</w:t>
      </w:r>
      <w:r>
        <w:t xml:space="preserve"> </w:t>
      </w:r>
      <w:r>
        <w:t xml:space="preserve">“SUCCESS”</w:t>
      </w:r>
      <w:r>
        <w:t xml:space="preserve">,</w:t>
      </w:r>
      <w:r>
        <w:t xml:space="preserve"> </w:t>
      </w:r>
      <w:r>
        <w:t xml:space="preserve">“code”</w:t>
      </w:r>
      <w:r>
        <w:t xml:space="preserve">:</w:t>
      </w:r>
      <w:r>
        <w:t xml:space="preserve"> </w:t>
      </w:r>
      <w:r>
        <w:t xml:space="preserve">“200”</w:t>
      </w:r>
      <w:r>
        <w:t xml:space="preserve">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“Processed Successfully”</w:t>
      </w:r>
      <w:r>
        <w:t xml:space="preserve"> </w:t>
      </w:r>
      <w:r>
        <w:t xml:space="preserve">},</w:t>
      </w:r>
      <w:r>
        <w:t xml:space="preserve"> </w:t>
      </w:r>
      <w:r>
        <w:t xml:space="preserve">“body”</w:t>
      </w:r>
      <w:r>
        <w:t xml:space="preserve">: {</w:t>
      </w:r>
      <w:r>
        <w:t xml:space="preserve"> </w:t>
      </w:r>
      <w:r>
        <w:t xml:space="preserve">“customerId”</w:t>
      </w:r>
      <w:r>
        <w:t xml:space="preserve">:</w:t>
      </w:r>
      <w:r>
        <w:t xml:space="preserve"> </w:t>
      </w:r>
      <w:r>
        <w:t xml:space="preserve">“CUST123”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authentication-enterprise-flow"/>
    <w:p>
      <w:pPr>
        <w:pStyle w:val="Heading2"/>
      </w:pPr>
      <w:r>
        <w:t xml:space="preserve">7. Authentication – Enterprise Flow</w:t>
      </w:r>
    </w:p>
    <w:bookmarkStart w:id="35" w:name="oauth-2.0-flow"/>
    <w:p>
      <w:pPr>
        <w:pStyle w:val="Heading3"/>
      </w:pPr>
      <w:r>
        <w:t xml:space="preserve">OAuth 2.0 Flow</w:t>
      </w:r>
    </w:p>
    <w:p>
      <w:pPr>
        <w:pStyle w:val="FirstParagraph"/>
      </w:pPr>
      <w:r>
        <w:t xml:space="preserve">Step 1: Call Auth API</w:t>
      </w:r>
      <w:r>
        <w:t xml:space="preserve"> </w:t>
      </w:r>
      <w:r>
        <w:t xml:space="preserve">POST /oauth/token</w:t>
      </w:r>
    </w:p>
    <w:p>
      <w:pPr>
        <w:pStyle w:val="BodyText"/>
      </w:pPr>
      <w:r>
        <w:t xml:space="preserve">Step 2: Receive Token</w:t>
      </w:r>
      <w:r>
        <w:t xml:space="preserve"> </w:t>
      </w:r>
      <w:r>
        <w:t xml:space="preserve">{</w:t>
      </w:r>
      <w:r>
        <w:t xml:space="preserve"> </w:t>
      </w:r>
      <w:r>
        <w:t xml:space="preserve">“access_token”</w:t>
      </w:r>
      <w:r>
        <w:t xml:space="preserve">:</w:t>
      </w:r>
      <w:r>
        <w:t xml:space="preserve"> </w:t>
      </w:r>
      <w:r>
        <w:t xml:space="preserve">“abc123”</w:t>
      </w:r>
      <w:r>
        <w:t xml:space="preserve">,</w:t>
      </w:r>
      <w:r>
        <w:t xml:space="preserve"> </w:t>
      </w:r>
      <w:r>
        <w:t xml:space="preserve">“expires_in”</w:t>
      </w:r>
      <w:r>
        <w:t xml:space="preserve">: 3600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Step 3: Use Token</w:t>
      </w:r>
      <w:r>
        <w:t xml:space="preserve"> </w:t>
      </w:r>
      <w:r>
        <w:t xml:space="preserve">Authorization: Bearer abc123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pi-gateway-policies"/>
    <w:p>
      <w:pPr>
        <w:pStyle w:val="Heading2"/>
      </w:pPr>
      <w:r>
        <w:t xml:space="preserve">8. API Gateway Policies</w:t>
      </w:r>
    </w:p>
    <w:p>
      <w:pPr>
        <w:pStyle w:val="Compact"/>
        <w:numPr>
          <w:ilvl w:val="0"/>
          <w:numId w:val="1007"/>
        </w:numPr>
      </w:pPr>
      <w:r>
        <w:t xml:space="preserve">Rate Limit: 1000 req/min</w:t>
      </w:r>
    </w:p>
    <w:p>
      <w:pPr>
        <w:pStyle w:val="Compact"/>
        <w:numPr>
          <w:ilvl w:val="0"/>
          <w:numId w:val="1007"/>
        </w:numPr>
      </w:pPr>
      <w:r>
        <w:t xml:space="preserve">IP Whitelisting</w:t>
      </w:r>
    </w:p>
    <w:p>
      <w:pPr>
        <w:pStyle w:val="Compact"/>
        <w:numPr>
          <w:ilvl w:val="0"/>
          <w:numId w:val="1007"/>
        </w:numPr>
      </w:pPr>
      <w:r>
        <w:t xml:space="preserve">JWT Validation</w:t>
      </w:r>
    </w:p>
    <w:p>
      <w:pPr>
        <w:pStyle w:val="Compact"/>
        <w:numPr>
          <w:ilvl w:val="0"/>
          <w:numId w:val="1007"/>
        </w:numPr>
      </w:pPr>
      <w:r>
        <w:t xml:space="preserve">Threat Protection</w:t>
      </w:r>
    </w:p>
    <w:p>
      <w:r>
        <w:pict>
          <v:rect style="width:0;height:1.5pt" o:hralign="center" o:hrstd="t" o:hr="t"/>
        </w:pict>
      </w:r>
    </w:p>
    <w:bookmarkEnd w:id="37"/>
    <w:bookmarkStart w:id="40" w:name="middleware-esb-logic"/>
    <w:p>
      <w:pPr>
        <w:pStyle w:val="Heading2"/>
      </w:pPr>
      <w:r>
        <w:t xml:space="preserve">9. Middleware / ESB Logic</w:t>
      </w:r>
    </w:p>
    <w:bookmarkStart w:id="38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8"/>
        </w:numPr>
      </w:pPr>
      <w:r>
        <w:t xml:space="preserve">Routing</w:t>
      </w:r>
    </w:p>
    <w:p>
      <w:pPr>
        <w:pStyle w:val="Compact"/>
        <w:numPr>
          <w:ilvl w:val="0"/>
          <w:numId w:val="1008"/>
        </w:numPr>
      </w:pPr>
      <w:r>
        <w:t xml:space="preserve">Data Mapping</w:t>
      </w:r>
    </w:p>
    <w:p>
      <w:pPr>
        <w:pStyle w:val="Compact"/>
        <w:numPr>
          <w:ilvl w:val="0"/>
          <w:numId w:val="1008"/>
        </w:numPr>
      </w:pPr>
      <w:r>
        <w:t xml:space="preserve">Orchestration</w:t>
      </w:r>
    </w:p>
    <w:bookmarkEnd w:id="38"/>
    <w:bookmarkStart w:id="39" w:name="example-transformation"/>
    <w:p>
      <w:pPr>
        <w:pStyle w:val="Heading3"/>
      </w:pPr>
      <w:r>
        <w:t xml:space="preserve">Example Transformation</w:t>
      </w:r>
    </w:p>
    <w:p>
      <w:pPr>
        <w:pStyle w:val="FirstParagraph"/>
      </w:pPr>
      <w:r>
        <w:t xml:space="preserve">JSON → XML for CBS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re-banking-integration-mapping"/>
    <w:p>
      <w:pPr>
        <w:pStyle w:val="Heading2"/>
      </w:pPr>
      <w:r>
        <w:t xml:space="preserve">10. Core Banking Integration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Field</w:t>
            </w:r>
          </w:p>
        </w:tc>
        <w:tc>
          <w:tcPr/>
          <w:p>
            <w:pPr>
              <w:pStyle w:val="Compact"/>
            </w:pPr>
            <w:r>
              <w:t xml:space="preserve">CBS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customerId</w:t>
            </w:r>
          </w:p>
        </w:tc>
        <w:tc>
          <w:tcPr/>
          <w:p>
            <w:pPr>
              <w:pStyle w:val="Compact"/>
            </w:pPr>
            <w:r>
              <w:t xml:space="preserve">CIF_NO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CUSTOMER_NAME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dob</w:t>
            </w:r>
          </w:p>
        </w:tc>
        <w:tc>
          <w:tcPr/>
          <w:p>
            <w:pPr>
              <w:pStyle w:val="Compact"/>
            </w:pPr>
            <w:r>
              <w:t xml:space="preserve">DATE_OF_BIRTH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error-handling-enterprise-standard"/>
    <w:p>
      <w:pPr>
        <w:pStyle w:val="Heading2"/>
      </w:pPr>
      <w:r>
        <w:t xml:space="preserve">11. Error Handling – Enterprise Standard</w:t>
      </w:r>
    </w:p>
    <w:p>
      <w:pPr>
        <w:pStyle w:val="FirstParagraph"/>
      </w:pPr>
      <w:r>
        <w:t xml:space="preserve">{</w:t>
      </w:r>
      <w:r>
        <w:t xml:space="preserve"> </w:t>
      </w:r>
      <w:r>
        <w:t xml:space="preserve">“error”</w:t>
      </w:r>
      <w:r>
        <w:t xml:space="preserve">: {</w:t>
      </w:r>
      <w:r>
        <w:t xml:space="preserve"> </w:t>
      </w:r>
      <w:r>
        <w:t xml:space="preserve">“code”</w:t>
      </w:r>
      <w:r>
        <w:t xml:space="preserve">:</w:t>
      </w:r>
      <w:r>
        <w:t xml:space="preserve"> </w:t>
      </w:r>
      <w:r>
        <w:t xml:space="preserve">“CBS_001”</w:t>
      </w:r>
      <w:r>
        <w:t xml:space="preserve">,</w:t>
      </w:r>
      <w:r>
        <w:t xml:space="preserve"> </w:t>
      </w:r>
      <w:r>
        <w:t xml:space="preserve">“message”</w:t>
      </w:r>
      <w:r>
        <w:t xml:space="preserve">:</w:t>
      </w:r>
      <w:r>
        <w:t xml:space="preserve"> </w:t>
      </w:r>
      <w:r>
        <w:t xml:space="preserve">“Customer already exists”</w:t>
      </w:r>
      <w:r>
        <w:t xml:space="preserve">,</w:t>
      </w:r>
      <w:r>
        <w:t xml:space="preserve"> </w:t>
      </w:r>
      <w:r>
        <w:t xml:space="preserve">“severity”</w:t>
      </w:r>
      <w:r>
        <w:t xml:space="preserve">:</w:t>
      </w:r>
      <w:r>
        <w:t xml:space="preserve"> </w:t>
      </w:r>
      <w:r>
        <w:t xml:space="preserve">“HIGH”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5" w:name="async-processing-advanced-banking"/>
    <w:p>
      <w:pPr>
        <w:pStyle w:val="Heading2"/>
      </w:pPr>
      <w:r>
        <w:t xml:space="preserve">12. Async Processing (Advanced Banking)</w:t>
      </w:r>
    </w:p>
    <w:bookmarkStart w:id="43" w:name="when-used"/>
    <w:p>
      <w:pPr>
        <w:pStyle w:val="Heading3"/>
      </w:pPr>
      <w:r>
        <w:t xml:space="preserve">When Used</w:t>
      </w:r>
    </w:p>
    <w:p>
      <w:pPr>
        <w:pStyle w:val="Compact"/>
        <w:numPr>
          <w:ilvl w:val="0"/>
          <w:numId w:val="1009"/>
        </w:numPr>
      </w:pPr>
      <w:r>
        <w:t xml:space="preserve">Payments</w:t>
      </w:r>
    </w:p>
    <w:p>
      <w:pPr>
        <w:pStyle w:val="Compact"/>
        <w:numPr>
          <w:ilvl w:val="0"/>
          <w:numId w:val="1009"/>
        </w:numPr>
      </w:pPr>
      <w:r>
        <w:t xml:space="preserve">Loan disbursement</w:t>
      </w:r>
    </w:p>
    <w:bookmarkEnd w:id="43"/>
    <w:bookmarkStart w:id="44" w:name="flow"/>
    <w:p>
      <w:pPr>
        <w:pStyle w:val="Heading3"/>
      </w:pPr>
      <w:r>
        <w:t xml:space="preserve">Flow</w:t>
      </w:r>
    </w:p>
    <w:p>
      <w:pPr>
        <w:pStyle w:val="FirstParagraph"/>
      </w:pPr>
      <w:r>
        <w:t xml:space="preserve">API → Queue (Kafka) → Consumer → CBS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logging-audit-regulatory-requirement"/>
    <w:p>
      <w:pPr>
        <w:pStyle w:val="Heading2"/>
      </w:pPr>
      <w:r>
        <w:t xml:space="preserve">13. Logging &amp; Audit (Regulatory Requirement)</w:t>
      </w:r>
    </w:p>
    <w:p>
      <w:pPr>
        <w:pStyle w:val="Compact"/>
        <w:numPr>
          <w:ilvl w:val="0"/>
          <w:numId w:val="1010"/>
        </w:numPr>
      </w:pPr>
      <w:r>
        <w:t xml:space="preserve">Request Log</w:t>
      </w:r>
    </w:p>
    <w:p>
      <w:pPr>
        <w:pStyle w:val="Compact"/>
        <w:numPr>
          <w:ilvl w:val="0"/>
          <w:numId w:val="1010"/>
        </w:numPr>
      </w:pPr>
      <w:r>
        <w:t xml:space="preserve">Response Log</w:t>
      </w:r>
    </w:p>
    <w:p>
      <w:pPr>
        <w:pStyle w:val="Compact"/>
        <w:numPr>
          <w:ilvl w:val="0"/>
          <w:numId w:val="1010"/>
        </w:numPr>
      </w:pPr>
      <w:r>
        <w:t xml:space="preserve">User Activity</w:t>
      </w:r>
    </w:p>
    <w:p>
      <w:pPr>
        <w:pStyle w:val="Compact"/>
        <w:numPr>
          <w:ilvl w:val="0"/>
          <w:numId w:val="1010"/>
        </w:numPr>
      </w:pPr>
      <w:r>
        <w:t xml:space="preserve">Audit Trail</w:t>
      </w:r>
    </w:p>
    <w:p>
      <w:r>
        <w:pict>
          <v:rect style="width:0;height:1.5pt" o:hralign="center" o:hrstd="t" o:hr="t"/>
        </w:pict>
      </w:r>
    </w:p>
    <w:bookmarkEnd w:id="46"/>
    <w:bookmarkStart w:id="47" w:name="performance-optimization"/>
    <w:p>
      <w:pPr>
        <w:pStyle w:val="Heading2"/>
      </w:pPr>
      <w:r>
        <w:t xml:space="preserve">14. Performance Optimization</w:t>
      </w:r>
    </w:p>
    <w:p>
      <w:pPr>
        <w:pStyle w:val="Compact"/>
        <w:numPr>
          <w:ilvl w:val="0"/>
          <w:numId w:val="1011"/>
        </w:numPr>
      </w:pPr>
      <w:r>
        <w:t xml:space="preserve">Load Balancer</w:t>
      </w:r>
    </w:p>
    <w:p>
      <w:pPr>
        <w:pStyle w:val="Compact"/>
        <w:numPr>
          <w:ilvl w:val="0"/>
          <w:numId w:val="1011"/>
        </w:numPr>
      </w:pPr>
      <w:r>
        <w:t xml:space="preserve">Caching (Redis)</w:t>
      </w:r>
    </w:p>
    <w:p>
      <w:pPr>
        <w:pStyle w:val="Compact"/>
        <w:numPr>
          <w:ilvl w:val="0"/>
          <w:numId w:val="1011"/>
        </w:numPr>
      </w:pPr>
      <w:r>
        <w:t xml:space="preserve">Horizontal Scaling</w:t>
      </w:r>
    </w:p>
    <w:p>
      <w:r>
        <w:pict>
          <v:rect style="width:0;height:1.5pt" o:hralign="center" o:hrstd="t" o:hr="t"/>
        </w:pict>
      </w:r>
    </w:p>
    <w:bookmarkEnd w:id="47"/>
    <w:bookmarkStart w:id="48" w:name="ai-powered-api-enhancements"/>
    <w:p>
      <w:pPr>
        <w:pStyle w:val="Heading2"/>
      </w:pPr>
      <w:r>
        <w:t xml:space="preserve">15. AI-Powered API Enhancements</w:t>
      </w:r>
    </w:p>
    <w:p>
      <w:pPr>
        <w:pStyle w:val="Compact"/>
        <w:numPr>
          <w:ilvl w:val="0"/>
          <w:numId w:val="1012"/>
        </w:numPr>
      </w:pPr>
      <w:r>
        <w:t xml:space="preserve">Smart Retry Mechanism</w:t>
      </w:r>
    </w:p>
    <w:p>
      <w:pPr>
        <w:pStyle w:val="Compact"/>
        <w:numPr>
          <w:ilvl w:val="0"/>
          <w:numId w:val="1012"/>
        </w:numPr>
      </w:pPr>
      <w:r>
        <w:t xml:space="preserve">Fraud Detection APIs</w:t>
      </w:r>
    </w:p>
    <w:p>
      <w:pPr>
        <w:pStyle w:val="Compact"/>
        <w:numPr>
          <w:ilvl w:val="0"/>
          <w:numId w:val="1012"/>
        </w:numPr>
      </w:pPr>
      <w:r>
        <w:t xml:space="preserve">Predictive Failure Alerts</w:t>
      </w:r>
    </w:p>
    <w:p>
      <w:pPr>
        <w:pStyle w:val="Compact"/>
        <w:numPr>
          <w:ilvl w:val="0"/>
          <w:numId w:val="1012"/>
        </w:numPr>
      </w:pPr>
      <w:r>
        <w:t xml:space="preserve">Intelligent Routing</w:t>
      </w:r>
    </w:p>
    <w:p>
      <w:r>
        <w:pict>
          <v:rect style="width:0;height:1.5pt" o:hralign="center" o:hrstd="t" o:hr="t"/>
        </w:pict>
      </w:r>
    </w:p>
    <w:bookmarkEnd w:id="48"/>
    <w:bookmarkStart w:id="49" w:name="end-to-end-example-loan-api"/>
    <w:p>
      <w:pPr>
        <w:pStyle w:val="Heading2"/>
      </w:pPr>
      <w:r>
        <w:t xml:space="preserve">16. End-to-End Example (Loan API)</w:t>
      </w:r>
    </w:p>
    <w:p>
      <w:pPr>
        <w:pStyle w:val="FirstParagraph"/>
      </w:pPr>
      <w:r>
        <w:t xml:space="preserve">POST /api/v1/loan/disburse</w:t>
      </w:r>
    </w:p>
    <w:p>
      <w:pPr>
        <w:pStyle w:val="BodyText"/>
      </w:pPr>
      <w:r>
        <w:t xml:space="preserve">Flow:</w:t>
      </w:r>
      <w:r>
        <w:t xml:space="preserve"> </w:t>
      </w:r>
      <w:r>
        <w:t xml:space="preserve">1. LOS sends request</w:t>
      </w:r>
      <w:r>
        <w:t xml:space="preserve"> </w:t>
      </w:r>
      <w:r>
        <w:t xml:space="preserve">2. API Gateway validates</w:t>
      </w:r>
      <w:r>
        <w:t xml:space="preserve"> </w:t>
      </w:r>
      <w:r>
        <w:t xml:space="preserve">3. Middleware enriches data</w:t>
      </w:r>
      <w:r>
        <w:t xml:space="preserve"> </w:t>
      </w:r>
      <w:r>
        <w:t xml:space="preserve">4. CBS checks eligibility</w:t>
      </w:r>
      <w:r>
        <w:t xml:space="preserve"> </w:t>
      </w:r>
      <w:r>
        <w:t xml:space="preserve">5. Amount disbursed</w:t>
      </w:r>
      <w:r>
        <w:t xml:space="preserve"> </w:t>
      </w:r>
      <w:r>
        <w:t xml:space="preserve">6. Response returned</w:t>
      </w:r>
    </w:p>
    <w:p>
      <w:r>
        <w:pict>
          <v:rect style="width:0;height:1.5pt" o:hralign="center" o:hrstd="t" o:hr="t"/>
        </w:pict>
      </w:r>
    </w:p>
    <w:bookmarkEnd w:id="49"/>
    <w:bookmarkStart w:id="50" w:name="testing-strategy-bank-grade"/>
    <w:p>
      <w:pPr>
        <w:pStyle w:val="Heading2"/>
      </w:pPr>
      <w:r>
        <w:t xml:space="preserve">17. Testing Strategy (Bank Grade)</w:t>
      </w:r>
    </w:p>
    <w:p>
      <w:pPr>
        <w:pStyle w:val="Compact"/>
        <w:numPr>
          <w:ilvl w:val="0"/>
          <w:numId w:val="1013"/>
        </w:numPr>
      </w:pPr>
      <w:r>
        <w:t xml:space="preserve">Unit Testing</w:t>
      </w:r>
    </w:p>
    <w:p>
      <w:pPr>
        <w:pStyle w:val="Compact"/>
        <w:numPr>
          <w:ilvl w:val="0"/>
          <w:numId w:val="1013"/>
        </w:numPr>
      </w:pPr>
      <w:r>
        <w:t xml:space="preserve">SIT (System Integration Testing)</w:t>
      </w:r>
    </w:p>
    <w:p>
      <w:pPr>
        <w:pStyle w:val="Compact"/>
        <w:numPr>
          <w:ilvl w:val="0"/>
          <w:numId w:val="1013"/>
        </w:numPr>
      </w:pPr>
      <w:r>
        <w:t xml:space="preserve">UAT</w:t>
      </w:r>
    </w:p>
    <w:p>
      <w:pPr>
        <w:pStyle w:val="Compact"/>
        <w:numPr>
          <w:ilvl w:val="0"/>
          <w:numId w:val="1013"/>
        </w:numPr>
      </w:pPr>
      <w:r>
        <w:t xml:space="preserve">Performance Testing (JMeter)</w:t>
      </w:r>
    </w:p>
    <w:p>
      <w:r>
        <w:pict>
          <v:rect style="width:0;height:1.5pt" o:hralign="center" o:hrstd="t" o:hr="t"/>
        </w:pict>
      </w:r>
    </w:p>
    <w:bookmarkEnd w:id="50"/>
    <w:bookmarkStart w:id="51" w:name="deployment-architecture"/>
    <w:p>
      <w:pPr>
        <w:pStyle w:val="Heading2"/>
      </w:pPr>
      <w:r>
        <w:t xml:space="preserve">18. Deployment Architecture</w:t>
      </w:r>
    </w:p>
    <w:p>
      <w:pPr>
        <w:pStyle w:val="Compact"/>
        <w:numPr>
          <w:ilvl w:val="0"/>
          <w:numId w:val="1014"/>
        </w:numPr>
      </w:pPr>
      <w:r>
        <w:t xml:space="preserve">Dev → SIT → UAT → PROD</w:t>
      </w:r>
    </w:p>
    <w:p>
      <w:pPr>
        <w:pStyle w:val="Compact"/>
        <w:numPr>
          <w:ilvl w:val="0"/>
          <w:numId w:val="1014"/>
        </w:numPr>
      </w:pPr>
      <w:r>
        <w:t xml:space="preserve">CI/CD Pipeline</w:t>
      </w:r>
    </w:p>
    <w:p>
      <w:r>
        <w:pict>
          <v:rect style="width:0;height:1.5pt" o:hralign="center" o:hrstd="t" o:hr="t"/>
        </w:pict>
      </w:r>
    </w:p>
    <w:bookmarkEnd w:id="51"/>
    <w:bookmarkStart w:id="52" w:name="security-compliance"/>
    <w:p>
      <w:pPr>
        <w:pStyle w:val="Heading2"/>
      </w:pPr>
      <w:r>
        <w:t xml:space="preserve">19. Security Compliance</w:t>
      </w:r>
    </w:p>
    <w:p>
      <w:pPr>
        <w:pStyle w:val="Compact"/>
        <w:numPr>
          <w:ilvl w:val="0"/>
          <w:numId w:val="1015"/>
        </w:numPr>
      </w:pPr>
      <w:r>
        <w:t xml:space="preserve">TLS 1.2+</w:t>
      </w:r>
    </w:p>
    <w:p>
      <w:pPr>
        <w:pStyle w:val="Compact"/>
        <w:numPr>
          <w:ilvl w:val="0"/>
          <w:numId w:val="1015"/>
        </w:numPr>
      </w:pPr>
      <w:r>
        <w:t xml:space="preserve">AES Encryption</w:t>
      </w:r>
    </w:p>
    <w:p>
      <w:pPr>
        <w:pStyle w:val="Compact"/>
        <w:numPr>
          <w:ilvl w:val="0"/>
          <w:numId w:val="1015"/>
        </w:numPr>
      </w:pPr>
      <w:r>
        <w:t xml:space="preserve">GDPR / PCI DSS Compliance</w:t>
      </w:r>
    </w:p>
    <w:p>
      <w:r>
        <w:pict>
          <v:rect style="width:0;height:1.5pt" o:hralign="center" o:hrstd="t" o:hr="t"/>
        </w:pict>
      </w:r>
    </w:p>
    <w:bookmarkEnd w:id="52"/>
    <w:bookmarkStart w:id="53" w:name="final-notes"/>
    <w:p>
      <w:pPr>
        <w:pStyle w:val="Heading2"/>
      </w:pPr>
      <w:r>
        <w:t xml:space="preserve">20. Final Notes</w:t>
      </w:r>
    </w:p>
    <w:p>
      <w:pPr>
        <w:pStyle w:val="FirstParagraph"/>
      </w:pPr>
      <w:r>
        <w:t xml:space="preserve">This document is now aligned for:</w:t>
      </w:r>
      <w:r>
        <w:t xml:space="preserve"> </w:t>
      </w:r>
      <w:r>
        <w:t xml:space="preserve">- Bank RFP submissions</w:t>
      </w:r>
      <w:r>
        <w:t xml:space="preserve"> </w:t>
      </w:r>
      <w:r>
        <w:t xml:space="preserve">- Client presentations</w:t>
      </w:r>
      <w:r>
        <w:t xml:space="preserve"> </w:t>
      </w:r>
      <w:r>
        <w:t xml:space="preserve">- Technical implementation</w:t>
      </w:r>
      <w:r>
        <w:t xml:space="preserve"> </w:t>
      </w:r>
      <w:r>
        <w:t xml:space="preserve">- SaaS multi-tenant platforms</w:t>
      </w:r>
    </w:p>
    <w:p>
      <w:r>
        <w:pict>
          <v:rect style="width:0;height:1.5pt" o:hralign="center" o:hrstd="t" o:hr="t"/>
        </w:pict>
      </w:r>
    </w:p>
    <w:bookmarkEnd w:id="53"/>
    <w:bookmarkStart w:id="54" w:name="next-level-upgrade-optional"/>
    <w:p>
      <w:pPr>
        <w:pStyle w:val="Heading2"/>
      </w:pPr>
      <w:r>
        <w:t xml:space="preserve">21. Next Level Upgrade (Optional)</w:t>
      </w:r>
    </w:p>
    <w:p>
      <w:pPr>
        <w:pStyle w:val="Compact"/>
        <w:numPr>
          <w:ilvl w:val="0"/>
          <w:numId w:val="1016"/>
        </w:numPr>
      </w:pPr>
      <w:r>
        <w:t xml:space="preserve">Add Postman Collection</w:t>
      </w:r>
    </w:p>
    <w:p>
      <w:pPr>
        <w:pStyle w:val="Compact"/>
        <w:numPr>
          <w:ilvl w:val="0"/>
          <w:numId w:val="1016"/>
        </w:numPr>
      </w:pPr>
      <w:r>
        <w:t xml:space="preserve">Add Real CBS Vendor Mapping (Temenos / Finacle)</w:t>
      </w:r>
    </w:p>
    <w:p>
      <w:pPr>
        <w:pStyle w:val="Compact"/>
        <w:numPr>
          <w:ilvl w:val="0"/>
          <w:numId w:val="1016"/>
        </w:numPr>
      </w:pPr>
      <w:r>
        <w:t xml:space="preserve">Add UI Screens for API Monitoring Dashboard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2026-04-08T06:47:22Z</dcterms:created>
  <dcterms:modified xsi:type="dcterms:W3CDTF">2026-04-08T06:47:22Z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