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e1037fd36df2d9a7c53d58f7c0c291bb96e2c02"/>
    <w:p>
      <w:pPr>
        <w:pStyle w:val="Heading1"/>
      </w:pPr>
      <w:r>
        <w:t xml:space="preserve">Gerab Bhutan Core Banking System (CBS) – User Manual</w:t>
      </w:r>
    </w:p>
    <w:p>
      <w:r>
        <w:pict>
          <v:rect style="width:0;height:1.5pt" o:hralign="center" o:hrstd="t" o:hr="t"/>
        </w:pict>
      </w:r>
    </w:p>
    <w:bookmarkEnd w:id="20"/>
    <w:bookmarkStart w:id="21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This user manual provides detailed guidance on using the Gerab Core Banking System (CBS). It is designed for bank staff including operations, credit, finance, risk, and IT users.</w:t>
      </w:r>
    </w:p>
    <w:p>
      <w:r>
        <w:pict>
          <v:rect style="width:0;height:1.5pt" o:hralign="center" o:hrstd="t" o:hr="t"/>
        </w:pict>
      </w:r>
    </w:p>
    <w:bookmarkEnd w:id="21"/>
    <w:bookmarkStart w:id="22" w:name="system-overview"/>
    <w:p>
      <w:pPr>
        <w:pStyle w:val="Heading1"/>
      </w:pPr>
      <w:r>
        <w:t xml:space="preserve">2. System Overview</w:t>
      </w:r>
    </w:p>
    <w:p>
      <w:pPr>
        <w:pStyle w:val="FirstParagraph"/>
      </w:pPr>
      <w:r>
        <w:t xml:space="preserve">The Gerab CBS is an integrated platform supporting:</w:t>
      </w:r>
      <w:r>
        <w:t xml:space="preserve"> </w:t>
      </w:r>
      <w:r>
        <w:t xml:space="preserve">- Customer Management</w:t>
      </w:r>
      <w:r>
        <w:t xml:space="preserve"> </w:t>
      </w:r>
      <w:r>
        <w:t xml:space="preserve">- Account Management</w:t>
      </w:r>
      <w:r>
        <w:t xml:space="preserve"> </w:t>
      </w:r>
      <w:r>
        <w:t xml:space="preserve">- Loan Management (LOS + LMS)</w:t>
      </w:r>
      <w:r>
        <w:t xml:space="preserve"> </w:t>
      </w:r>
      <w:r>
        <w:t xml:space="preserve">- Payments &amp; Transactions</w:t>
      </w:r>
      <w:r>
        <w:t xml:space="preserve"> </w:t>
      </w:r>
      <w:r>
        <w:t xml:space="preserve">- General Ledger</w:t>
      </w:r>
      <w:r>
        <w:t xml:space="preserve"> </w:t>
      </w:r>
      <w:r>
        <w:t xml:space="preserve">- Risk &amp; Compliance (IFRS 9, AML, ALM)</w:t>
      </w:r>
      <w:r>
        <w:t xml:space="preserve"> </w:t>
      </w:r>
      <w:r>
        <w:t xml:space="preserve">- Reporting &amp; Dashboard</w:t>
      </w:r>
    </w:p>
    <w:p>
      <w:r>
        <w:pict>
          <v:rect style="width:0;height:1.5pt" o:hralign="center" o:hrstd="t" o:hr="t"/>
        </w:pict>
      </w:r>
    </w:p>
    <w:bookmarkEnd w:id="22"/>
    <w:bookmarkStart w:id="25" w:name="user-roles-access"/>
    <w:p>
      <w:pPr>
        <w:pStyle w:val="Heading1"/>
      </w:pPr>
      <w:r>
        <w:t xml:space="preserve">3. User Roles &amp; Access</w:t>
      </w:r>
    </w:p>
    <w:bookmarkStart w:id="23" w:name="roles"/>
    <w:p>
      <w:pPr>
        <w:pStyle w:val="Heading2"/>
      </w:pPr>
      <w:r>
        <w:t xml:space="preserve">3.1 Roles</w:t>
      </w:r>
    </w:p>
    <w:p>
      <w:pPr>
        <w:pStyle w:val="Compact"/>
        <w:numPr>
          <w:ilvl w:val="0"/>
          <w:numId w:val="1001"/>
        </w:numPr>
      </w:pPr>
      <w:r>
        <w:t xml:space="preserve">Admin</w:t>
      </w:r>
    </w:p>
    <w:p>
      <w:pPr>
        <w:pStyle w:val="Compact"/>
        <w:numPr>
          <w:ilvl w:val="0"/>
          <w:numId w:val="1001"/>
        </w:numPr>
      </w:pPr>
      <w:r>
        <w:t xml:space="preserve">Branch User</w:t>
      </w:r>
    </w:p>
    <w:p>
      <w:pPr>
        <w:pStyle w:val="Compact"/>
        <w:numPr>
          <w:ilvl w:val="0"/>
          <w:numId w:val="1001"/>
        </w:numPr>
      </w:pPr>
      <w:r>
        <w:t xml:space="preserve">Credit Officer</w:t>
      </w:r>
    </w:p>
    <w:p>
      <w:pPr>
        <w:pStyle w:val="Compact"/>
        <w:numPr>
          <w:ilvl w:val="0"/>
          <w:numId w:val="1001"/>
        </w:numPr>
      </w:pPr>
      <w:r>
        <w:t xml:space="preserve">Risk Analyst</w:t>
      </w:r>
    </w:p>
    <w:p>
      <w:pPr>
        <w:pStyle w:val="Compact"/>
        <w:numPr>
          <w:ilvl w:val="0"/>
          <w:numId w:val="1001"/>
        </w:numPr>
      </w:pPr>
      <w:r>
        <w:t xml:space="preserve">Finance User</w:t>
      </w:r>
    </w:p>
    <w:bookmarkEnd w:id="23"/>
    <w:bookmarkStart w:id="24" w:name="login-process"/>
    <w:p>
      <w:pPr>
        <w:pStyle w:val="Heading2"/>
      </w:pPr>
      <w:r>
        <w:t xml:space="preserve">3.2 Login Process</w:t>
      </w:r>
    </w:p>
    <w:p>
      <w:pPr>
        <w:pStyle w:val="Compact"/>
        <w:numPr>
          <w:ilvl w:val="0"/>
          <w:numId w:val="1002"/>
        </w:numPr>
      </w:pPr>
      <w:r>
        <w:t xml:space="preserve">Enter Username</w:t>
      </w:r>
    </w:p>
    <w:p>
      <w:pPr>
        <w:pStyle w:val="Compact"/>
        <w:numPr>
          <w:ilvl w:val="0"/>
          <w:numId w:val="1002"/>
        </w:numPr>
      </w:pPr>
      <w:r>
        <w:t xml:space="preserve">Enter Password</w:t>
      </w:r>
    </w:p>
    <w:p>
      <w:pPr>
        <w:pStyle w:val="Compact"/>
        <w:numPr>
          <w:ilvl w:val="0"/>
          <w:numId w:val="1002"/>
        </w:numPr>
      </w:pPr>
      <w:r>
        <w:t xml:space="preserve">OTP verification (if enabled)</w:t>
      </w:r>
    </w:p>
    <w:p>
      <w:pPr>
        <w:pStyle w:val="Compact"/>
        <w:numPr>
          <w:ilvl w:val="0"/>
          <w:numId w:val="1002"/>
        </w:numPr>
      </w:pPr>
      <w:r>
        <w:t xml:space="preserve">Click Login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customer-management-cif"/>
    <w:p>
      <w:pPr>
        <w:pStyle w:val="Heading1"/>
      </w:pPr>
      <w:r>
        <w:t xml:space="preserve">4. Customer Management (CIF)</w:t>
      </w:r>
    </w:p>
    <w:bookmarkStart w:id="26" w:name="create-customer"/>
    <w:p>
      <w:pPr>
        <w:pStyle w:val="Heading2"/>
      </w:pPr>
      <w:r>
        <w:t xml:space="preserve">4.1 Create Customer</w:t>
      </w:r>
    </w:p>
    <w:p>
      <w:pPr>
        <w:pStyle w:val="FirstParagraph"/>
      </w:pPr>
      <w:r>
        <w:t xml:space="preserve">Steps:</w:t>
      </w:r>
      <w:r>
        <w:t xml:space="preserve"> </w:t>
      </w:r>
      <w:r>
        <w:t xml:space="preserve">1. Go to Customer Module</w:t>
      </w:r>
      <w:r>
        <w:t xml:space="preserve"> </w:t>
      </w:r>
      <w:r>
        <w:t xml:space="preserve">2. Click</w:t>
      </w:r>
      <w:r>
        <w:t xml:space="preserve"> </w:t>
      </w:r>
      <w:r>
        <w:t xml:space="preserve">“Create Customer”</w:t>
      </w:r>
      <w:r>
        <w:t xml:space="preserve"> </w:t>
      </w:r>
      <w:r>
        <w:t xml:space="preserve">3. Enter details:</w:t>
      </w:r>
      <w:r>
        <w:t xml:space="preserve"> </w:t>
      </w:r>
      <w:r>
        <w:t xml:space="preserve">- Name</w:t>
      </w:r>
      <w:r>
        <w:t xml:space="preserve"> </w:t>
      </w:r>
      <w:r>
        <w:t xml:space="preserve">- DOB</w:t>
      </w:r>
      <w:r>
        <w:t xml:space="preserve"> </w:t>
      </w:r>
      <w:r>
        <w:t xml:space="preserve">- Address</w:t>
      </w:r>
      <w:r>
        <w:t xml:space="preserve"> </w:t>
      </w:r>
      <w:r>
        <w:t xml:space="preserve">- KYC documents</w:t>
      </w:r>
      <w:r>
        <w:t xml:space="preserve"> </w:t>
      </w:r>
      <w:r>
        <w:t xml:space="preserve">4. Save</w:t>
      </w:r>
    </w:p>
    <w:bookmarkEnd w:id="26"/>
    <w:bookmarkStart w:id="27" w:name="view-customer"/>
    <w:p>
      <w:pPr>
        <w:pStyle w:val="Heading2"/>
      </w:pPr>
      <w:r>
        <w:t xml:space="preserve">4.2 View Customer</w:t>
      </w:r>
    </w:p>
    <w:p>
      <w:pPr>
        <w:pStyle w:val="Compact"/>
        <w:numPr>
          <w:ilvl w:val="0"/>
          <w:numId w:val="1003"/>
        </w:numPr>
      </w:pPr>
      <w:r>
        <w:t xml:space="preserve">Search by Customer ID / Name</w:t>
      </w:r>
    </w:p>
    <w:p>
      <w:pPr>
        <w:pStyle w:val="Compact"/>
        <w:numPr>
          <w:ilvl w:val="0"/>
          <w:numId w:val="1003"/>
        </w:numPr>
      </w:pPr>
      <w:r>
        <w:t xml:space="preserve">View full profile (Customer 360)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account-management"/>
    <w:p>
      <w:pPr>
        <w:pStyle w:val="Heading1"/>
      </w:pPr>
      <w:r>
        <w:t xml:space="preserve">5. Account Management</w:t>
      </w:r>
    </w:p>
    <w:bookmarkStart w:id="29" w:name="open-account"/>
    <w:p>
      <w:pPr>
        <w:pStyle w:val="Heading2"/>
      </w:pPr>
      <w:r>
        <w:t xml:space="preserve">5.1 Open Account</w:t>
      </w:r>
    </w:p>
    <w:p>
      <w:pPr>
        <w:pStyle w:val="FirstParagraph"/>
      </w:pPr>
      <w:r>
        <w:t xml:space="preserve">Steps:</w:t>
      </w:r>
      <w:r>
        <w:t xml:space="preserve"> </w:t>
      </w:r>
      <w:r>
        <w:t xml:space="preserve">1. Select Customer</w:t>
      </w:r>
      <w:r>
        <w:t xml:space="preserve"> </w:t>
      </w:r>
      <w:r>
        <w:t xml:space="preserve">2. Click</w:t>
      </w:r>
      <w:r>
        <w:t xml:space="preserve"> </w:t>
      </w:r>
      <w:r>
        <w:t xml:space="preserve">“Open Account”</w:t>
      </w:r>
      <w:r>
        <w:t xml:space="preserve"> </w:t>
      </w:r>
      <w:r>
        <w:t xml:space="preserve">3. Choose account type (Savings/Current/FD)</w:t>
      </w:r>
      <w:r>
        <w:t xml:space="preserve"> </w:t>
      </w:r>
      <w:r>
        <w:t xml:space="preserve">4. Enter initial deposit</w:t>
      </w:r>
      <w:r>
        <w:t xml:space="preserve"> </w:t>
      </w:r>
      <w:r>
        <w:t xml:space="preserve">5. Submit</w:t>
      </w:r>
    </w:p>
    <w:bookmarkEnd w:id="29"/>
    <w:bookmarkStart w:id="30" w:name="balance-inquiry"/>
    <w:p>
      <w:pPr>
        <w:pStyle w:val="Heading2"/>
      </w:pPr>
      <w:r>
        <w:t xml:space="preserve">5.2 Balance Inquiry</w:t>
      </w:r>
    </w:p>
    <w:p>
      <w:pPr>
        <w:pStyle w:val="Compact"/>
        <w:numPr>
          <w:ilvl w:val="0"/>
          <w:numId w:val="1004"/>
        </w:numPr>
      </w:pPr>
      <w:r>
        <w:t xml:space="preserve">Navigate to Account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t xml:space="preserve">“View Balance”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loan-origination-system-los"/>
    <w:p>
      <w:pPr>
        <w:pStyle w:val="Heading1"/>
      </w:pPr>
      <w:r>
        <w:t xml:space="preserve">6. Loan Origination System (LOS)</w:t>
      </w:r>
    </w:p>
    <w:bookmarkStart w:id="32" w:name="create-loan-application"/>
    <w:p>
      <w:pPr>
        <w:pStyle w:val="Heading2"/>
      </w:pPr>
      <w:r>
        <w:t xml:space="preserve">6.1 Create Loan Application</w:t>
      </w:r>
    </w:p>
    <w:p>
      <w:pPr>
        <w:pStyle w:val="FirstParagraph"/>
      </w:pPr>
      <w:r>
        <w:t xml:space="preserve">Steps:</w:t>
      </w:r>
      <w:r>
        <w:t xml:space="preserve"> </w:t>
      </w:r>
      <w:r>
        <w:t xml:space="preserve">1. Go to LOS Module</w:t>
      </w:r>
      <w:r>
        <w:t xml:space="preserve"> </w:t>
      </w:r>
      <w:r>
        <w:t xml:space="preserve">2. Click</w:t>
      </w:r>
      <w:r>
        <w:t xml:space="preserve"> </w:t>
      </w:r>
      <w:r>
        <w:t xml:space="preserve">“New Application”</w:t>
      </w:r>
      <w:r>
        <w:t xml:space="preserve"> </w:t>
      </w:r>
      <w:r>
        <w:t xml:space="preserve">3. Enter:</w:t>
      </w:r>
      <w:r>
        <w:t xml:space="preserve"> </w:t>
      </w:r>
      <w:r>
        <w:t xml:space="preserve">- Customer details</w:t>
      </w:r>
      <w:r>
        <w:t xml:space="preserve"> </w:t>
      </w:r>
      <w:r>
        <w:t xml:space="preserve">- Loan amount</w:t>
      </w:r>
      <w:r>
        <w:t xml:space="preserve"> </w:t>
      </w:r>
      <w:r>
        <w:t xml:space="preserve">- Income details</w:t>
      </w:r>
      <w:r>
        <w:t xml:space="preserve"> </w:t>
      </w:r>
      <w:r>
        <w:t xml:space="preserve">4. Submit</w:t>
      </w:r>
    </w:p>
    <w:bookmarkEnd w:id="32"/>
    <w:bookmarkStart w:id="33" w:name="approval-process"/>
    <w:p>
      <w:pPr>
        <w:pStyle w:val="Heading2"/>
      </w:pPr>
      <w:r>
        <w:t xml:space="preserve">6.2 Approval Process</w:t>
      </w:r>
    </w:p>
    <w:p>
      <w:pPr>
        <w:pStyle w:val="Compact"/>
        <w:numPr>
          <w:ilvl w:val="0"/>
          <w:numId w:val="1005"/>
        </w:numPr>
      </w:pPr>
      <w:r>
        <w:t xml:space="preserve">Credit officer reviews</w:t>
      </w:r>
    </w:p>
    <w:p>
      <w:pPr>
        <w:pStyle w:val="Compact"/>
        <w:numPr>
          <w:ilvl w:val="0"/>
          <w:numId w:val="1005"/>
        </w:numPr>
      </w:pPr>
      <w:r>
        <w:t xml:space="preserve">Approves / Rejects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loan-management-system-lms"/>
    <w:p>
      <w:pPr>
        <w:pStyle w:val="Heading1"/>
      </w:pPr>
      <w:r>
        <w:t xml:space="preserve">7. Loan Management System (LMS)</w:t>
      </w:r>
    </w:p>
    <w:bookmarkStart w:id="35" w:name="loan-booking"/>
    <w:p>
      <w:pPr>
        <w:pStyle w:val="Heading2"/>
      </w:pPr>
      <w:r>
        <w:t xml:space="preserve">7.1 Loan Booking</w:t>
      </w:r>
    </w:p>
    <w:p>
      <w:pPr>
        <w:pStyle w:val="Compact"/>
        <w:numPr>
          <w:ilvl w:val="0"/>
          <w:numId w:val="1006"/>
        </w:numPr>
      </w:pPr>
      <w:r>
        <w:t xml:space="preserve">Approved loans are booked automatically</w:t>
      </w:r>
    </w:p>
    <w:bookmarkEnd w:id="35"/>
    <w:bookmarkStart w:id="36" w:name="emi-schedule"/>
    <w:p>
      <w:pPr>
        <w:pStyle w:val="Heading2"/>
      </w:pPr>
      <w:r>
        <w:t xml:space="preserve">7.2 EMI Schedule</w:t>
      </w:r>
    </w:p>
    <w:p>
      <w:pPr>
        <w:pStyle w:val="Compact"/>
        <w:numPr>
          <w:ilvl w:val="0"/>
          <w:numId w:val="1007"/>
        </w:numPr>
      </w:pPr>
      <w:r>
        <w:t xml:space="preserve">View repayment schedule</w:t>
      </w:r>
    </w:p>
    <w:bookmarkEnd w:id="36"/>
    <w:bookmarkStart w:id="37" w:name="repayment"/>
    <w:p>
      <w:pPr>
        <w:pStyle w:val="Heading2"/>
      </w:pPr>
      <w:r>
        <w:t xml:space="preserve">7.3 Repayment</w:t>
      </w:r>
    </w:p>
    <w:p>
      <w:pPr>
        <w:pStyle w:val="FirstParagraph"/>
      </w:pPr>
      <w:r>
        <w:t xml:space="preserve">Steps:</w:t>
      </w:r>
      <w:r>
        <w:t xml:space="preserve"> </w:t>
      </w:r>
      <w:r>
        <w:t xml:space="preserve">1. Select Loan Account</w:t>
      </w:r>
      <w:r>
        <w:t xml:space="preserve"> </w:t>
      </w:r>
      <w:r>
        <w:t xml:space="preserve">2. Click</w:t>
      </w:r>
      <w:r>
        <w:t xml:space="preserve"> </w:t>
      </w:r>
      <w:r>
        <w:t xml:space="preserve">“Repayment”</w:t>
      </w:r>
      <w:r>
        <w:t xml:space="preserve"> </w:t>
      </w:r>
      <w:r>
        <w:t xml:space="preserve">3. Enter amount</w:t>
      </w:r>
      <w:r>
        <w:t xml:space="preserve"> </w:t>
      </w:r>
      <w:r>
        <w:t xml:space="preserve">4. Submit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payments-transactions"/>
    <w:p>
      <w:pPr>
        <w:pStyle w:val="Heading1"/>
      </w:pPr>
      <w:r>
        <w:t xml:space="preserve">8. Payments &amp; Transactions</w:t>
      </w:r>
    </w:p>
    <w:bookmarkStart w:id="39" w:name="fund-transfer"/>
    <w:p>
      <w:pPr>
        <w:pStyle w:val="Heading2"/>
      </w:pPr>
      <w:r>
        <w:t xml:space="preserve">8.1 Fund Transfer</w:t>
      </w:r>
    </w:p>
    <w:p>
      <w:pPr>
        <w:pStyle w:val="FirstParagraph"/>
      </w:pPr>
      <w:r>
        <w:t xml:space="preserve">Steps:</w:t>
      </w:r>
      <w:r>
        <w:t xml:space="preserve"> </w:t>
      </w:r>
      <w:r>
        <w:t xml:space="preserve">1. Go to Payments</w:t>
      </w:r>
      <w:r>
        <w:t xml:space="preserve"> </w:t>
      </w:r>
      <w:r>
        <w:t xml:space="preserve">2. Select Transfer</w:t>
      </w:r>
      <w:r>
        <w:t xml:space="preserve"> </w:t>
      </w:r>
      <w:r>
        <w:t xml:space="preserve">3. Enter:</w:t>
      </w:r>
      <w:r>
        <w:t xml:space="preserve"> </w:t>
      </w:r>
      <w:r>
        <w:t xml:space="preserve">- From account</w:t>
      </w:r>
      <w:r>
        <w:t xml:space="preserve"> </w:t>
      </w:r>
      <w:r>
        <w:t xml:space="preserve">- To account</w:t>
      </w:r>
      <w:r>
        <w:t xml:space="preserve"> </w:t>
      </w:r>
      <w:r>
        <w:t xml:space="preserve">- Amount</w:t>
      </w:r>
      <w:r>
        <w:t xml:space="preserve"> </w:t>
      </w:r>
      <w:r>
        <w:t xml:space="preserve">4. Submit</w:t>
      </w:r>
    </w:p>
    <w:bookmarkEnd w:id="39"/>
    <w:bookmarkStart w:id="40" w:name="transaction-history"/>
    <w:p>
      <w:pPr>
        <w:pStyle w:val="Heading2"/>
      </w:pPr>
      <w:r>
        <w:t xml:space="preserve">8.2 Transaction History</w:t>
      </w:r>
    </w:p>
    <w:p>
      <w:pPr>
        <w:pStyle w:val="Compact"/>
        <w:numPr>
          <w:ilvl w:val="0"/>
          <w:numId w:val="1008"/>
        </w:numPr>
      </w:pPr>
      <w:r>
        <w:t xml:space="preserve">View all transactions by account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general-ledger-gl"/>
    <w:p>
      <w:pPr>
        <w:pStyle w:val="Heading1"/>
      </w:pPr>
      <w:r>
        <w:t xml:space="preserve">9. General Ledger (GL)</w:t>
      </w:r>
    </w:p>
    <w:bookmarkStart w:id="42" w:name="journal-entry"/>
    <w:p>
      <w:pPr>
        <w:pStyle w:val="Heading2"/>
      </w:pPr>
      <w:r>
        <w:t xml:space="preserve">9.1 Journal Entry</w:t>
      </w:r>
    </w:p>
    <w:p>
      <w:pPr>
        <w:pStyle w:val="FirstParagraph"/>
      </w:pPr>
      <w:r>
        <w:t xml:space="preserve">Steps:</w:t>
      </w:r>
      <w:r>
        <w:t xml:space="preserve"> </w:t>
      </w:r>
      <w:r>
        <w:t xml:space="preserve">1. Go to GL Module</w:t>
      </w:r>
      <w:r>
        <w:t xml:space="preserve"> </w:t>
      </w:r>
      <w:r>
        <w:t xml:space="preserve">2. Click</w:t>
      </w:r>
      <w:r>
        <w:t xml:space="preserve"> </w:t>
      </w:r>
      <w:r>
        <w:t xml:space="preserve">“New Entry”</w:t>
      </w:r>
      <w:r>
        <w:t xml:space="preserve"> </w:t>
      </w:r>
      <w:r>
        <w:t xml:space="preserve">3. Enter debit/credit</w:t>
      </w:r>
      <w:r>
        <w:t xml:space="preserve"> </w:t>
      </w:r>
      <w:r>
        <w:t xml:space="preserve">4. Submit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ifrs-9-module"/>
    <w:p>
      <w:pPr>
        <w:pStyle w:val="Heading1"/>
      </w:pPr>
      <w:r>
        <w:t xml:space="preserve">10. IFRS 9 Module</w:t>
      </w:r>
    </w:p>
    <w:bookmarkStart w:id="44" w:name="ecl-calculation"/>
    <w:p>
      <w:pPr>
        <w:pStyle w:val="Heading2"/>
      </w:pPr>
      <w:r>
        <w:t xml:space="preserve">10.1 ECL Calculation</w:t>
      </w:r>
    </w:p>
    <w:p>
      <w:pPr>
        <w:pStyle w:val="Compact"/>
        <w:numPr>
          <w:ilvl w:val="0"/>
          <w:numId w:val="1009"/>
        </w:numPr>
      </w:pPr>
      <w:r>
        <w:t xml:space="preserve">System calculates ECL automatically</w:t>
      </w:r>
    </w:p>
    <w:bookmarkEnd w:id="44"/>
    <w:bookmarkStart w:id="45" w:name="staging"/>
    <w:p>
      <w:pPr>
        <w:pStyle w:val="Heading2"/>
      </w:pPr>
      <w:r>
        <w:t xml:space="preserve">10.2 Staging</w:t>
      </w:r>
    </w:p>
    <w:p>
      <w:pPr>
        <w:pStyle w:val="Compact"/>
        <w:numPr>
          <w:ilvl w:val="0"/>
          <w:numId w:val="1010"/>
        </w:numPr>
      </w:pPr>
      <w:r>
        <w:t xml:space="preserve">Loans classified into Stage 1, 2, 3</w:t>
      </w:r>
    </w:p>
    <w:bookmarkEnd w:id="45"/>
    <w:bookmarkStart w:id="46" w:name="reports"/>
    <w:p>
      <w:pPr>
        <w:pStyle w:val="Heading2"/>
      </w:pPr>
      <w:r>
        <w:t xml:space="preserve">10.3 Reports</w:t>
      </w:r>
    </w:p>
    <w:p>
      <w:pPr>
        <w:pStyle w:val="Compact"/>
        <w:numPr>
          <w:ilvl w:val="0"/>
          <w:numId w:val="1011"/>
        </w:numPr>
      </w:pPr>
      <w:r>
        <w:t xml:space="preserve">ECL summary</w:t>
      </w:r>
    </w:p>
    <w:p>
      <w:pPr>
        <w:pStyle w:val="Compact"/>
        <w:numPr>
          <w:ilvl w:val="0"/>
          <w:numId w:val="1011"/>
        </w:numPr>
      </w:pPr>
      <w:r>
        <w:t xml:space="preserve">Stage movement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aml-module"/>
    <w:p>
      <w:pPr>
        <w:pStyle w:val="Heading1"/>
      </w:pPr>
      <w:r>
        <w:t xml:space="preserve">11. AML Module</w:t>
      </w:r>
    </w:p>
    <w:bookmarkStart w:id="48" w:name="transaction-monitoring"/>
    <w:p>
      <w:pPr>
        <w:pStyle w:val="Heading2"/>
      </w:pPr>
      <w:r>
        <w:t xml:space="preserve">11.1 Transaction Monitoring</w:t>
      </w:r>
    </w:p>
    <w:p>
      <w:pPr>
        <w:pStyle w:val="Compact"/>
        <w:numPr>
          <w:ilvl w:val="0"/>
          <w:numId w:val="1012"/>
        </w:numPr>
      </w:pPr>
      <w:r>
        <w:t xml:space="preserve">System flags suspicious transactions</w:t>
      </w:r>
    </w:p>
    <w:bookmarkEnd w:id="48"/>
    <w:bookmarkStart w:id="49" w:name="alerts"/>
    <w:p>
      <w:pPr>
        <w:pStyle w:val="Heading2"/>
      </w:pPr>
      <w:r>
        <w:t xml:space="preserve">11.2 Alerts</w:t>
      </w:r>
    </w:p>
    <w:p>
      <w:pPr>
        <w:pStyle w:val="Compact"/>
        <w:numPr>
          <w:ilvl w:val="0"/>
          <w:numId w:val="1013"/>
        </w:numPr>
      </w:pPr>
      <w:r>
        <w:t xml:space="preserve">View AML alerts dashboard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alm-ftp-module"/>
    <w:p>
      <w:pPr>
        <w:pStyle w:val="Heading1"/>
      </w:pPr>
      <w:r>
        <w:t xml:space="preserve">12. ALM / FTP Module</w:t>
      </w:r>
    </w:p>
    <w:bookmarkStart w:id="51" w:name="alm"/>
    <w:p>
      <w:pPr>
        <w:pStyle w:val="Heading2"/>
      </w:pPr>
      <w:r>
        <w:t xml:space="preserve">12.1 ALM</w:t>
      </w:r>
    </w:p>
    <w:p>
      <w:pPr>
        <w:pStyle w:val="Compact"/>
        <w:numPr>
          <w:ilvl w:val="0"/>
          <w:numId w:val="1014"/>
        </w:numPr>
      </w:pPr>
      <w:r>
        <w:t xml:space="preserve">View liquidity gap reports</w:t>
      </w:r>
    </w:p>
    <w:bookmarkEnd w:id="51"/>
    <w:bookmarkStart w:id="52" w:name="ftp"/>
    <w:p>
      <w:pPr>
        <w:pStyle w:val="Heading2"/>
      </w:pPr>
      <w:r>
        <w:t xml:space="preserve">12.2 FTP</w:t>
      </w:r>
    </w:p>
    <w:p>
      <w:pPr>
        <w:pStyle w:val="Compact"/>
        <w:numPr>
          <w:ilvl w:val="0"/>
          <w:numId w:val="1015"/>
        </w:numPr>
      </w:pPr>
      <w:r>
        <w:t xml:space="preserve">Internal pricing calculation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reports-dashboard"/>
    <w:p>
      <w:pPr>
        <w:pStyle w:val="Heading1"/>
      </w:pPr>
      <w:r>
        <w:t xml:space="preserve">13. Reports &amp; Dashboard</w:t>
      </w:r>
    </w:p>
    <w:bookmarkStart w:id="54" w:name="executive-dashboard"/>
    <w:p>
      <w:pPr>
        <w:pStyle w:val="Heading2"/>
      </w:pPr>
      <w:r>
        <w:t xml:space="preserve">13.1 Executive Dashboard</w:t>
      </w:r>
    </w:p>
    <w:p>
      <w:pPr>
        <w:pStyle w:val="Compact"/>
        <w:numPr>
          <w:ilvl w:val="0"/>
          <w:numId w:val="1016"/>
        </w:numPr>
      </w:pPr>
      <w:r>
        <w:t xml:space="preserve">Loans, Deposits, NPA</w:t>
      </w:r>
    </w:p>
    <w:bookmarkEnd w:id="54"/>
    <w:bookmarkStart w:id="55" w:name="risk-dashboard"/>
    <w:p>
      <w:pPr>
        <w:pStyle w:val="Heading2"/>
      </w:pPr>
      <w:r>
        <w:t xml:space="preserve">13.2 Risk Dashboard</w:t>
      </w:r>
    </w:p>
    <w:p>
      <w:pPr>
        <w:pStyle w:val="Compact"/>
        <w:numPr>
          <w:ilvl w:val="0"/>
          <w:numId w:val="1017"/>
        </w:numPr>
      </w:pPr>
      <w:r>
        <w:t xml:space="preserve">PD, ECL</w:t>
      </w:r>
    </w:p>
    <w:bookmarkEnd w:id="55"/>
    <w:bookmarkStart w:id="56" w:name="collection-dashboard"/>
    <w:p>
      <w:pPr>
        <w:pStyle w:val="Heading2"/>
      </w:pPr>
      <w:r>
        <w:t xml:space="preserve">13.3 Collection Dashboard</w:t>
      </w:r>
    </w:p>
    <w:p>
      <w:pPr>
        <w:pStyle w:val="Compact"/>
        <w:numPr>
          <w:ilvl w:val="0"/>
          <w:numId w:val="1018"/>
        </w:numPr>
      </w:pPr>
      <w:r>
        <w:t xml:space="preserve">Delinquency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error-handling"/>
    <w:p>
      <w:pPr>
        <w:pStyle w:val="Heading1"/>
      </w:pPr>
      <w:r>
        <w:t xml:space="preserve">14. Error Handling</w:t>
      </w:r>
    </w:p>
    <w:p>
      <w:pPr>
        <w:pStyle w:val="FirstParagraph"/>
      </w:pPr>
      <w:r>
        <w:t xml:space="preserve">Common Errors:</w:t>
      </w:r>
      <w:r>
        <w:t xml:space="preserve"> </w:t>
      </w:r>
      <w:r>
        <w:t xml:space="preserve">- Invalid input</w:t>
      </w:r>
      <w:r>
        <w:t xml:space="preserve"> </w:t>
      </w:r>
      <w:r>
        <w:t xml:space="preserve">- Unauthorized access</w:t>
      </w:r>
      <w:r>
        <w:t xml:space="preserve"> </w:t>
      </w:r>
      <w:r>
        <w:t xml:space="preserve">- System timeout</w:t>
      </w:r>
    </w:p>
    <w:p>
      <w:r>
        <w:pict>
          <v:rect style="width:0;height:1.5pt" o:hralign="center" o:hrstd="t" o:hr="t"/>
        </w:pict>
      </w:r>
    </w:p>
    <w:bookmarkEnd w:id="58"/>
    <w:bookmarkStart w:id="59" w:name="security-guidelines"/>
    <w:p>
      <w:pPr>
        <w:pStyle w:val="Heading1"/>
      </w:pPr>
      <w:r>
        <w:t xml:space="preserve">15. Security Guidelines</w:t>
      </w:r>
    </w:p>
    <w:p>
      <w:pPr>
        <w:pStyle w:val="Compact"/>
        <w:numPr>
          <w:ilvl w:val="0"/>
          <w:numId w:val="1019"/>
        </w:numPr>
      </w:pPr>
      <w:r>
        <w:t xml:space="preserve">Do not share credentials</w:t>
      </w:r>
    </w:p>
    <w:p>
      <w:pPr>
        <w:pStyle w:val="Compact"/>
        <w:numPr>
          <w:ilvl w:val="0"/>
          <w:numId w:val="1019"/>
        </w:numPr>
      </w:pPr>
      <w:r>
        <w:t xml:space="preserve">Logout after use</w:t>
      </w:r>
    </w:p>
    <w:p>
      <w:pPr>
        <w:pStyle w:val="Compact"/>
        <w:numPr>
          <w:ilvl w:val="0"/>
          <w:numId w:val="1019"/>
        </w:numPr>
      </w:pPr>
      <w:r>
        <w:t xml:space="preserve">Follow compliance policies</w:t>
      </w:r>
    </w:p>
    <w:p>
      <w:r>
        <w:pict>
          <v:rect style="width:0;height:1.5pt" o:hralign="center" o:hrstd="t" o:hr="t"/>
        </w:pict>
      </w:r>
    </w:p>
    <w:bookmarkEnd w:id="59"/>
    <w:bookmarkStart w:id="60" w:name="support"/>
    <w:p>
      <w:pPr>
        <w:pStyle w:val="Heading1"/>
      </w:pPr>
      <w:r>
        <w:t xml:space="preserve">16. Support</w:t>
      </w:r>
    </w:p>
    <w:p>
      <w:pPr>
        <w:pStyle w:val="FirstParagraph"/>
      </w:pPr>
      <w:r>
        <w:t xml:space="preserve">For issues:</w:t>
      </w:r>
      <w:r>
        <w:t xml:space="preserve"> </w:t>
      </w:r>
      <w:r>
        <w:t xml:space="preserve">- Contact IT team</w:t>
      </w:r>
      <w:r>
        <w:t xml:space="preserve"> </w:t>
      </w:r>
      <w:r>
        <w:t xml:space="preserve">- Raise ticket</w:t>
      </w:r>
    </w:p>
    <w:p>
      <w:r>
        <w:pict>
          <v:rect style="width:0;height:1.5pt" o:hralign="center" o:hrstd="t" o:hr="t"/>
        </w:pict>
      </w:r>
    </w:p>
    <w:bookmarkEnd w:id="60"/>
    <w:bookmarkStart w:id="61" w:name="conclusion"/>
    <w:p>
      <w:pPr>
        <w:pStyle w:val="Heading1"/>
      </w:pPr>
      <w:r>
        <w:t xml:space="preserve">17. Conclusion</w:t>
      </w:r>
    </w:p>
    <w:p>
      <w:pPr>
        <w:pStyle w:val="FirstParagraph"/>
      </w:pPr>
      <w:r>
        <w:t xml:space="preserve">This manual enables users to operate the Gerab CBS efficiently across all banking functions.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2026-04-09T06:02:33Z</dcterms:created>
  <dcterms:modified xsi:type="dcterms:W3CDTF">2026-04-09T06:02:33Z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