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079a2ef7de41256f17ba71a2f929860eeeb974"/>
    <w:p>
      <w:pPr>
        <w:pStyle w:val="Heading1"/>
      </w:pPr>
      <w:r>
        <w:t xml:space="preserve">Enterprise Banking API Documentation (Production-Ready – All Modules)</w:t>
      </w:r>
    </w:p>
    <w:p>
      <w:r>
        <w:pict>
          <v:rect style="width:0;height:1.5pt" o:hralign="center" o:hrstd="t" o:hr="t"/>
        </w:pict>
      </w:r>
    </w:p>
    <w:bookmarkEnd w:id="20"/>
    <w:bookmarkStart w:id="25" w:name="global-standards"/>
    <w:p>
      <w:pPr>
        <w:pStyle w:val="Heading1"/>
      </w:pPr>
      <w:r>
        <w:t xml:space="preserve">1. Global Standards</w:t>
      </w:r>
    </w:p>
    <w:bookmarkStart w:id="21" w:name="base-url"/>
    <w:p>
      <w:pPr>
        <w:pStyle w:val="Heading2"/>
      </w:pPr>
      <w:r>
        <w:t xml:space="preserve">1.1 Base URL</w:t>
      </w:r>
    </w:p>
    <w:p>
      <w:pPr>
        <w:pStyle w:val="Compact"/>
        <w:numPr>
          <w:ilvl w:val="0"/>
          <w:numId w:val="1001"/>
        </w:numPr>
      </w:pPr>
      <w:r>
        <w:t xml:space="preserve">https://api.bankplatform.com</w:t>
      </w:r>
    </w:p>
    <w:bookmarkEnd w:id="21"/>
    <w:bookmarkStart w:id="22" w:name="authentication"/>
    <w:p>
      <w:pPr>
        <w:pStyle w:val="Heading2"/>
      </w:pPr>
      <w:r>
        <w:t xml:space="preserve">1.2 Authentication</w:t>
      </w:r>
    </w:p>
    <w:p>
      <w:pPr>
        <w:pStyle w:val="Compact"/>
        <w:numPr>
          <w:ilvl w:val="0"/>
          <w:numId w:val="1002"/>
        </w:numPr>
      </w:pPr>
      <w:r>
        <w:t xml:space="preserve">OAuth2 Bearer Token (JWT)</w:t>
      </w:r>
    </w:p>
    <w:bookmarkEnd w:id="22"/>
    <w:bookmarkStart w:id="23" w:name="standard-headers"/>
    <w:p>
      <w:pPr>
        <w:pStyle w:val="Heading2"/>
      </w:pPr>
      <w:r>
        <w:t xml:space="preserve">1.3 Standard Headers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“tenantId”</w:t>
      </w:r>
      <w:r>
        <w:t xml:space="preserve">:</w:t>
      </w:r>
      <w:r>
        <w:t xml:space="preserve"> </w:t>
      </w:r>
      <w:r>
        <w:t xml:space="preserve">“BANK01”</w:t>
      </w:r>
      <w:r>
        <w:t xml:space="preserve">,</w:t>
      </w:r>
      <w:r>
        <w:t xml:space="preserve"> </w:t>
      </w:r>
      <w:r>
        <w:t xml:space="preserve">“requestId”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,</w:t>
      </w:r>
      <w:r>
        <w:t xml:space="preserve"> </w:t>
      </w:r>
      <w:r>
        <w:t xml:space="preserve">“channel”</w:t>
      </w:r>
      <w:r>
        <w:t xml:space="preserve">:</w:t>
      </w:r>
      <w:r>
        <w:t xml:space="preserve"> </w:t>
      </w:r>
      <w:r>
        <w:t xml:space="preserve">“SYSTEM”</w:t>
      </w:r>
      <w:r>
        <w:t xml:space="preserve">,</w:t>
      </w:r>
      <w:r>
        <w:t xml:space="preserve"> </w:t>
      </w:r>
      <w:r>
        <w:t xml:space="preserve">“userId”</w:t>
      </w:r>
      <w:r>
        <w:t xml:space="preserve">:</w:t>
      </w:r>
      <w:r>
        <w:t xml:space="preserve"> </w:t>
      </w:r>
      <w:r>
        <w:t xml:space="preserve">“SYSTEM”</w:t>
      </w:r>
      <w:r>
        <w:t xml:space="preserve">,</w:t>
      </w:r>
      <w:r>
        <w:t xml:space="preserve"> </w:t>
      </w:r>
      <w:r>
        <w:t xml:space="preserve">“timestamp”</w:t>
      </w:r>
      <w:r>
        <w:t xml:space="preserve">:</w:t>
      </w:r>
      <w:r>
        <w:t xml:space="preserve"> </w:t>
      </w:r>
      <w:r>
        <w:t xml:space="preserve">“ISO8601”</w:t>
      </w:r>
      <w:r>
        <w:t xml:space="preserve"> </w:t>
      </w:r>
      <w:r>
        <w:t xml:space="preserve">}</w:t>
      </w:r>
    </w:p>
    <w:bookmarkEnd w:id="23"/>
    <w:bookmarkStart w:id="24" w:name="standard-response-envelope"/>
    <w:p>
      <w:pPr>
        <w:pStyle w:val="Heading2"/>
      </w:pPr>
      <w:r>
        <w:t xml:space="preserve">1.4 Standard Response Envelope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“header”</w:t>
      </w:r>
      <w:r>
        <w:t xml:space="preserve">: {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“SUCCESS”</w:t>
      </w:r>
      <w:r>
        <w:t xml:space="preserve">,</w:t>
      </w:r>
      <w:r>
        <w:t xml:space="preserve"> </w:t>
      </w:r>
      <w:r>
        <w:t xml:space="preserve">“code”</w:t>
      </w:r>
      <w:r>
        <w:t xml:space="preserve">:</w:t>
      </w:r>
      <w:r>
        <w:t xml:space="preserve"> </w:t>
      </w:r>
      <w:r>
        <w:t xml:space="preserve">“200”</w:t>
      </w:r>
      <w:r>
        <w:t xml:space="preserve">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“Processed Successfully”</w:t>
      </w:r>
      <w:r>
        <w:t xml:space="preserve"> </w:t>
      </w:r>
      <w:r>
        <w:t xml:space="preserve">},</w:t>
      </w:r>
      <w:r>
        <w:t xml:space="preserve"> </w:t>
      </w:r>
      <w:r>
        <w:t xml:space="preserve">“body”</w:t>
      </w:r>
      <w:r>
        <w:t xml:space="preserve">: {}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data-warehouse-apis"/>
    <w:p>
      <w:pPr>
        <w:pStyle w:val="Heading1"/>
      </w:pPr>
      <w:r>
        <w:t xml:space="preserve">2. DATA WAREHOUSE APIs</w:t>
      </w:r>
    </w:p>
    <w:bookmarkStart w:id="28" w:name="ingestion-bulkstreaming"/>
    <w:p>
      <w:pPr>
        <w:pStyle w:val="Heading2"/>
      </w:pPr>
      <w:r>
        <w:t xml:space="preserve">2.1 Ingestion (Bulk/Streaming)</w:t>
      </w:r>
    </w:p>
    <w:p>
      <w:pPr>
        <w:pStyle w:val="FirstParagraph"/>
      </w:pPr>
      <w:r>
        <w:t xml:space="preserve">POST /api/v1/dwh/ingest</w:t>
      </w:r>
    </w:p>
    <w:bookmarkStart w:id="26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“header”</w:t>
      </w:r>
      <w:r>
        <w:t xml:space="preserve">: { … },</w:t>
      </w:r>
      <w:r>
        <w:t xml:space="preserve"> </w:t>
      </w:r>
      <w:r>
        <w:t xml:space="preserve">“body”</w:t>
      </w:r>
      <w:r>
        <w:t xml:space="preserve">: {</w:t>
      </w:r>
      <w:r>
        <w:t xml:space="preserve"> </w:t>
      </w:r>
      <w:r>
        <w:t xml:space="preserve">“sourceSystem”</w:t>
      </w:r>
      <w:r>
        <w:t xml:space="preserve">:</w:t>
      </w:r>
      <w:r>
        <w:t xml:space="preserve"> </w:t>
      </w:r>
      <w:r>
        <w:t xml:space="preserve">“LOS”</w:t>
      </w:r>
      <w:r>
        <w:t xml:space="preserve">,</w:t>
      </w:r>
      <w:r>
        <w:t xml:space="preserve"> </w:t>
      </w:r>
      <w:r>
        <w:t xml:space="preserve">“entity”</w:t>
      </w:r>
      <w:r>
        <w:t xml:space="preserve">:</w:t>
      </w:r>
      <w:r>
        <w:t xml:space="preserve"> </w:t>
      </w:r>
      <w:r>
        <w:t xml:space="preserve">“LOAN”</w:t>
      </w:r>
      <w:r>
        <w:t xml:space="preserve">,</w:t>
      </w:r>
      <w:r>
        <w:t xml:space="preserve"> </w:t>
      </w:r>
      <w:r>
        <w:t xml:space="preserve">“records”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“loanId”</w:t>
      </w:r>
      <w:r>
        <w:t xml:space="preserve">:</w:t>
      </w:r>
      <w:r>
        <w:t xml:space="preserve"> </w:t>
      </w:r>
      <w:r>
        <w:t xml:space="preserve">“LN001”</w:t>
      </w:r>
      <w:r>
        <w:t xml:space="preserve">,</w:t>
      </w:r>
      <w:r>
        <w:t xml:space="preserve"> </w:t>
      </w:r>
      <w:r>
        <w:t xml:space="preserve">“customerId”</w:t>
      </w:r>
      <w:r>
        <w:t xml:space="preserve">:</w:t>
      </w:r>
      <w:r>
        <w:t xml:space="preserve"> </w:t>
      </w:r>
      <w:r>
        <w:t xml:space="preserve">“C001”</w:t>
      </w:r>
      <w:r>
        <w:t xml:space="preserve">,</w:t>
      </w:r>
      <w:r>
        <w:t xml:space="preserve"> </w:t>
      </w:r>
      <w:r>
        <w:t xml:space="preserve">“amount”</w:t>
      </w:r>
      <w:r>
        <w:t xml:space="preserve">: 100000,</w:t>
      </w:r>
      <w:r>
        <w:t xml:space="preserve"> </w:t>
      </w:r>
      <w:r>
        <w:t xml:space="preserve">“tenure”</w:t>
      </w:r>
      <w:r>
        <w:t xml:space="preserve">: 60,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“ACTIVE”</w:t>
      </w:r>
      <w:r>
        <w:t xml:space="preserve">,</w:t>
      </w:r>
      <w:r>
        <w:t xml:space="preserve"> </w:t>
      </w:r>
      <w:r>
        <w:t xml:space="preserve">“createdDate”</w:t>
      </w:r>
      <w:r>
        <w:t xml:space="preserve">:</w:t>
      </w:r>
      <w:r>
        <w:t xml:space="preserve"> </w:t>
      </w:r>
      <w:r>
        <w:t xml:space="preserve">“2026-01-01”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bookmarkEnd w:id="26"/>
    <w:bookmarkStart w:id="27" w:name="sla"/>
    <w:p>
      <w:pPr>
        <w:pStyle w:val="Heading3"/>
      </w:pPr>
      <w:r>
        <w:t xml:space="preserve">SLA</w:t>
      </w:r>
    </w:p>
    <w:p>
      <w:pPr>
        <w:pStyle w:val="Compact"/>
        <w:numPr>
          <w:ilvl w:val="0"/>
          <w:numId w:val="1003"/>
        </w:numPr>
      </w:pPr>
      <w:r>
        <w:t xml:space="preserve">Batch: 1M records/hour</w:t>
      </w:r>
    </w:p>
    <w:p>
      <w:pPr>
        <w:pStyle w:val="Compact"/>
        <w:numPr>
          <w:ilvl w:val="0"/>
          <w:numId w:val="1003"/>
        </w:numPr>
      </w:pPr>
      <w:r>
        <w:t xml:space="preserve">Real-time: &lt; 300 ms per request</w:t>
      </w:r>
    </w:p>
    <w:bookmarkEnd w:id="27"/>
    <w:bookmarkEnd w:id="28"/>
    <w:bookmarkStart w:id="29" w:name="query-api"/>
    <w:p>
      <w:pPr>
        <w:pStyle w:val="Heading2"/>
      </w:pPr>
      <w:r>
        <w:t xml:space="preserve">2.2 Query API</w:t>
      </w:r>
    </w:p>
    <w:p>
      <w:pPr>
        <w:pStyle w:val="FirstParagraph"/>
      </w:pPr>
      <w:r>
        <w:t xml:space="preserve">GET /api/v1/dwh/query?entity=LOAN&amp;fromDate=2026-01-01&amp;toDate=2026-12-31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ews-apis"/>
    <w:p>
      <w:pPr>
        <w:pStyle w:val="Heading1"/>
      </w:pPr>
      <w:r>
        <w:t xml:space="preserve">3. EWS APIs</w:t>
      </w:r>
    </w:p>
    <w:bookmarkStart w:id="33" w:name="trigger-evaluation"/>
    <w:p>
      <w:pPr>
        <w:pStyle w:val="Heading2"/>
      </w:pPr>
      <w:r>
        <w:t xml:space="preserve">3.1 Trigger Evaluation</w:t>
      </w:r>
    </w:p>
    <w:p>
      <w:pPr>
        <w:pStyle w:val="FirstParagraph"/>
      </w:pPr>
      <w:r>
        <w:t xml:space="preserve">POST /api/v1/ews/evaluate</w:t>
      </w:r>
    </w:p>
    <w:bookmarkStart w:id="31" w:name="request-1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“body”</w:t>
      </w:r>
      <w:r>
        <w:t xml:space="preserve">: {</w:t>
      </w:r>
      <w:r>
        <w:t xml:space="preserve"> </w:t>
      </w:r>
      <w:r>
        <w:t xml:space="preserve">“customerId”</w:t>
      </w:r>
      <w:r>
        <w:t xml:space="preserve">:</w:t>
      </w:r>
      <w:r>
        <w:t xml:space="preserve"> </w:t>
      </w:r>
      <w:r>
        <w:t xml:space="preserve">“C001”</w:t>
      </w:r>
      <w:r>
        <w:t xml:space="preserve">,</w:t>
      </w:r>
      <w:r>
        <w:t xml:space="preserve"> </w:t>
      </w:r>
      <w:r>
        <w:t xml:space="preserve">“dpd”</w:t>
      </w:r>
      <w:r>
        <w:t xml:space="preserve">: 45,</w:t>
      </w:r>
      <w:r>
        <w:t xml:space="preserve"> </w:t>
      </w:r>
      <w:r>
        <w:t xml:space="preserve">“balanceDrop”</w:t>
      </w:r>
      <w:r>
        <w:t xml:space="preserve">: 30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bookmarkEnd w:id="31"/>
    <w:bookmarkStart w:id="32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“body”</w:t>
      </w:r>
      <w:r>
        <w:t xml:space="preserve">: {</w:t>
      </w:r>
      <w:r>
        <w:t xml:space="preserve"> </w:t>
      </w:r>
      <w:r>
        <w:t xml:space="preserve">“riskLevel”</w:t>
      </w:r>
      <w:r>
        <w:t xml:space="preserve">:</w:t>
      </w:r>
      <w:r>
        <w:t xml:space="preserve"> </w:t>
      </w:r>
      <w:r>
        <w:t xml:space="preserve">“HIGH”</w:t>
      </w:r>
      <w:r>
        <w:t xml:space="preserve">,</w:t>
      </w:r>
      <w:r>
        <w:t xml:space="preserve"> </w:t>
      </w:r>
      <w:r>
        <w:t xml:space="preserve">“alerts”</w:t>
      </w:r>
      <w:r>
        <w:t xml:space="preserve">: [</w:t>
      </w:r>
      <w:r>
        <w:t xml:space="preserve">“DPD&gt;30”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bookmarkEnd w:id="32"/>
    <w:bookmarkEnd w:id="33"/>
    <w:bookmarkStart w:id="34" w:name="alerts-fetch"/>
    <w:p>
      <w:pPr>
        <w:pStyle w:val="Heading2"/>
      </w:pPr>
      <w:r>
        <w:t xml:space="preserve">3.2 Alerts Fetch</w:t>
      </w:r>
    </w:p>
    <w:p>
      <w:pPr>
        <w:pStyle w:val="FirstParagraph"/>
      </w:pPr>
      <w:r>
        <w:t xml:space="preserve">GET /api/v1/ews/alerts?riskLevel=HIGH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aml-apis"/>
    <w:p>
      <w:pPr>
        <w:pStyle w:val="Heading1"/>
      </w:pPr>
      <w:r>
        <w:t xml:space="preserve">4. AML APIs</w:t>
      </w:r>
    </w:p>
    <w:bookmarkStart w:id="38" w:name="monitor-transaction"/>
    <w:p>
      <w:pPr>
        <w:pStyle w:val="Heading2"/>
      </w:pPr>
      <w:r>
        <w:t xml:space="preserve">4.1 Monitor Transaction</w:t>
      </w:r>
    </w:p>
    <w:p>
      <w:pPr>
        <w:pStyle w:val="FirstParagraph"/>
      </w:pPr>
      <w:r>
        <w:t xml:space="preserve">POST /api/v1/aml/monitor</w:t>
      </w:r>
    </w:p>
    <w:bookmarkStart w:id="36" w:name="request-2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“body”</w:t>
      </w:r>
      <w:r>
        <w:t xml:space="preserve">: {</w:t>
      </w:r>
      <w:r>
        <w:t xml:space="preserve"> </w:t>
      </w:r>
      <w:r>
        <w:t xml:space="preserve">“txnId”</w:t>
      </w:r>
      <w:r>
        <w:t xml:space="preserve">:</w:t>
      </w:r>
      <w:r>
        <w:t xml:space="preserve"> </w:t>
      </w:r>
      <w:r>
        <w:t xml:space="preserve">“TXN001”</w:t>
      </w:r>
      <w:r>
        <w:t xml:space="preserve">,</w:t>
      </w:r>
      <w:r>
        <w:t xml:space="preserve"> </w:t>
      </w:r>
      <w:r>
        <w:t xml:space="preserve">“amount”</w:t>
      </w:r>
      <w:r>
        <w:t xml:space="preserve">: 500000,</w:t>
      </w:r>
      <w:r>
        <w:t xml:space="preserve"> </w:t>
      </w:r>
      <w:r>
        <w:t xml:space="preserve">“country”</w:t>
      </w:r>
      <w:r>
        <w:t xml:space="preserve">:</w:t>
      </w:r>
      <w:r>
        <w:t xml:space="preserve"> </w:t>
      </w:r>
      <w:r>
        <w:t xml:space="preserve">“NP”</w:t>
      </w:r>
      <w:r>
        <w:t xml:space="preserve">,</w:t>
      </w:r>
      <w:r>
        <w:t xml:space="preserve"> </w:t>
      </w:r>
      <w:r>
        <w:t xml:space="preserve">“customerId”</w:t>
      </w:r>
      <w:r>
        <w:t xml:space="preserve">:</w:t>
      </w:r>
      <w:r>
        <w:t xml:space="preserve"> </w:t>
      </w:r>
      <w:r>
        <w:t xml:space="preserve">“C001”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bookmarkEnd w:id="36"/>
    <w:bookmarkStart w:id="37" w:name="logic"/>
    <w:p>
      <w:pPr>
        <w:pStyle w:val="Heading3"/>
      </w:pPr>
      <w:r>
        <w:t xml:space="preserve">Logic</w:t>
      </w:r>
    </w:p>
    <w:p>
      <w:pPr>
        <w:pStyle w:val="Compact"/>
        <w:numPr>
          <w:ilvl w:val="0"/>
          <w:numId w:val="1004"/>
        </w:numPr>
      </w:pPr>
      <w:r>
        <w:t xml:space="preserve">Rule Engine + AI anomaly detection</w:t>
      </w:r>
    </w:p>
    <w:bookmarkEnd w:id="37"/>
    <w:bookmarkEnd w:id="38"/>
    <w:bookmarkStart w:id="39" w:name="alerts"/>
    <w:p>
      <w:pPr>
        <w:pStyle w:val="Heading2"/>
      </w:pPr>
      <w:r>
        <w:t xml:space="preserve">4.2 Alerts</w:t>
      </w:r>
    </w:p>
    <w:p>
      <w:pPr>
        <w:pStyle w:val="FirstParagraph"/>
      </w:pPr>
      <w:r>
        <w:t xml:space="preserve">GET /api/v1/aml/alerts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ollection-apis"/>
    <w:p>
      <w:pPr>
        <w:pStyle w:val="Heading1"/>
      </w:pPr>
      <w:r>
        <w:t xml:space="preserve">5. COLLECTION APIs</w:t>
      </w:r>
    </w:p>
    <w:bookmarkStart w:id="42" w:name="create-case"/>
    <w:p>
      <w:pPr>
        <w:pStyle w:val="Heading2"/>
      </w:pPr>
      <w:r>
        <w:t xml:space="preserve">5.1 Create Case</w:t>
      </w:r>
    </w:p>
    <w:p>
      <w:pPr>
        <w:pStyle w:val="FirstParagraph"/>
      </w:pPr>
      <w:r>
        <w:t xml:space="preserve">POST /api/v1/collection/case</w:t>
      </w:r>
    </w:p>
    <w:bookmarkStart w:id="41" w:name="request-3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“body”</w:t>
      </w:r>
      <w:r>
        <w:t xml:space="preserve">: {</w:t>
      </w:r>
      <w:r>
        <w:t xml:space="preserve"> </w:t>
      </w:r>
      <w:r>
        <w:t xml:space="preserve">“loanId”</w:t>
      </w:r>
      <w:r>
        <w:t xml:space="preserve">:</w:t>
      </w:r>
      <w:r>
        <w:t xml:space="preserve"> </w:t>
      </w:r>
      <w:r>
        <w:t xml:space="preserve">“LN001”</w:t>
      </w:r>
      <w:r>
        <w:t xml:space="preserve">,</w:t>
      </w:r>
      <w:r>
        <w:t xml:space="preserve"> </w:t>
      </w:r>
      <w:r>
        <w:t xml:space="preserve">“dpd”</w:t>
      </w:r>
      <w:r>
        <w:t xml:space="preserve">: 60,</w:t>
      </w:r>
      <w:r>
        <w:t xml:space="preserve"> </w:t>
      </w:r>
      <w:r>
        <w:t xml:space="preserve">“bucket”</w:t>
      </w:r>
      <w:r>
        <w:t xml:space="preserve">:</w:t>
      </w:r>
      <w:r>
        <w:t xml:space="preserve"> </w:t>
      </w:r>
      <w:r>
        <w:t xml:space="preserve">“60+”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bookmarkEnd w:id="41"/>
    <w:bookmarkEnd w:id="42"/>
    <w:bookmarkStart w:id="43" w:name="recovery-update"/>
    <w:p>
      <w:pPr>
        <w:pStyle w:val="Heading2"/>
      </w:pPr>
      <w:r>
        <w:t xml:space="preserve">5.2 Recovery Update</w:t>
      </w:r>
    </w:p>
    <w:p>
      <w:pPr>
        <w:pStyle w:val="FirstParagraph"/>
      </w:pPr>
      <w:r>
        <w:t xml:space="preserve">POST /api/v1/collection/recovery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dms-apis"/>
    <w:p>
      <w:pPr>
        <w:pStyle w:val="Heading1"/>
      </w:pPr>
      <w:r>
        <w:t xml:space="preserve">6. DMS APIs</w:t>
      </w:r>
    </w:p>
    <w:bookmarkStart w:id="46" w:name="upload"/>
    <w:p>
      <w:pPr>
        <w:pStyle w:val="Heading2"/>
      </w:pPr>
      <w:r>
        <w:t xml:space="preserve">6.1 Upload</w:t>
      </w:r>
    </w:p>
    <w:p>
      <w:pPr>
        <w:pStyle w:val="FirstParagraph"/>
      </w:pPr>
      <w:r>
        <w:t xml:space="preserve">POST /api/v1/dms/upload</w:t>
      </w:r>
    </w:p>
    <w:bookmarkStart w:id="45" w:name="request-4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“body”</w:t>
      </w:r>
      <w:r>
        <w:t xml:space="preserve">: {</w:t>
      </w:r>
      <w:r>
        <w:t xml:space="preserve"> </w:t>
      </w:r>
      <w:r>
        <w:t xml:space="preserve">“documentType”</w:t>
      </w:r>
      <w:r>
        <w:t xml:space="preserve">:</w:t>
      </w:r>
      <w:r>
        <w:t xml:space="preserve"> </w:t>
      </w:r>
      <w:r>
        <w:t xml:space="preserve">“KYC”</w:t>
      </w:r>
      <w:r>
        <w:t xml:space="preserve">,</w:t>
      </w:r>
      <w:r>
        <w:t xml:space="preserve"> </w:t>
      </w:r>
      <w:r>
        <w:t xml:space="preserve">“fileName”</w:t>
      </w:r>
      <w:r>
        <w:t xml:space="preserve">:</w:t>
      </w:r>
      <w:r>
        <w:t xml:space="preserve"> </w:t>
      </w:r>
      <w:r>
        <w:t xml:space="preserve">“aadhaar.pdf”</w:t>
      </w:r>
      <w:r>
        <w:t xml:space="preserve">,</w:t>
      </w:r>
      <w:r>
        <w:t xml:space="preserve"> </w:t>
      </w:r>
      <w:r>
        <w:t xml:space="preserve">“base64”</w:t>
      </w:r>
      <w:r>
        <w:t xml:space="preserve">:</w:t>
      </w:r>
      <w:r>
        <w:t xml:space="preserve"> </w:t>
      </w:r>
      <w:r>
        <w:t xml:space="preserve">“encodedString”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bookmarkEnd w:id="45"/>
    <w:bookmarkEnd w:id="46"/>
    <w:bookmarkStart w:id="47" w:name="fetch"/>
    <w:p>
      <w:pPr>
        <w:pStyle w:val="Heading2"/>
      </w:pPr>
      <w:r>
        <w:t xml:space="preserve">6.2 Fetch</w:t>
      </w:r>
    </w:p>
    <w:p>
      <w:pPr>
        <w:pStyle w:val="FirstParagraph"/>
      </w:pPr>
      <w:r>
        <w:t xml:space="preserve">GET /api/v1/dms/document/{id}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rating-apis"/>
    <w:p>
      <w:pPr>
        <w:pStyle w:val="Heading1"/>
      </w:pPr>
      <w:r>
        <w:t xml:space="preserve">7. RATING APIs</w:t>
      </w:r>
    </w:p>
    <w:bookmarkStart w:id="51" w:name="calculate-rating"/>
    <w:p>
      <w:pPr>
        <w:pStyle w:val="Heading2"/>
      </w:pPr>
      <w:r>
        <w:t xml:space="preserve">7.1 Calculate Rating</w:t>
      </w:r>
    </w:p>
    <w:p>
      <w:pPr>
        <w:pStyle w:val="FirstParagraph"/>
      </w:pPr>
      <w:r>
        <w:t xml:space="preserve">POST /api/v1/rating/calculate</w:t>
      </w:r>
    </w:p>
    <w:bookmarkStart w:id="49" w:name="request-5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“body”</w:t>
      </w:r>
      <w:r>
        <w:t xml:space="preserve">: {</w:t>
      </w:r>
      <w:r>
        <w:t xml:space="preserve"> </w:t>
      </w:r>
      <w:r>
        <w:t xml:space="preserve">“financialScore”</w:t>
      </w:r>
      <w:r>
        <w:t xml:space="preserve">: 70,</w:t>
      </w:r>
      <w:r>
        <w:t xml:space="preserve"> </w:t>
      </w:r>
      <w:r>
        <w:t xml:space="preserve">“behaviorScore”</w:t>
      </w:r>
      <w:r>
        <w:t xml:space="preserve">: 80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bookmarkEnd w:id="49"/>
    <w:bookmarkStart w:id="50" w:name="response-1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“body”</w:t>
      </w:r>
      <w:r>
        <w:t xml:space="preserve">: {</w:t>
      </w:r>
      <w:r>
        <w:t xml:space="preserve"> </w:t>
      </w:r>
      <w:r>
        <w:t xml:space="preserve">“rating”</w:t>
      </w:r>
      <w:r>
        <w:t xml:space="preserve">:</w:t>
      </w:r>
      <w:r>
        <w:t xml:space="preserve"> </w:t>
      </w:r>
      <w:r>
        <w:t xml:space="preserve">“A”</w:t>
      </w:r>
      <w:r>
        <w:t xml:space="preserve">,</w:t>
      </w:r>
      <w:r>
        <w:t xml:space="preserve"> </w:t>
      </w:r>
      <w:r>
        <w:t xml:space="preserve">“pd”</w:t>
      </w:r>
      <w:r>
        <w:t xml:space="preserve">: 0.02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6" w:name="los-apis"/>
    <w:p>
      <w:pPr>
        <w:pStyle w:val="Heading1"/>
      </w:pPr>
      <w:r>
        <w:t xml:space="preserve">8. LOS APIs</w:t>
      </w:r>
    </w:p>
    <w:bookmarkStart w:id="54" w:name="application-create"/>
    <w:p>
      <w:pPr>
        <w:pStyle w:val="Heading2"/>
      </w:pPr>
      <w:r>
        <w:t xml:space="preserve">8.1 Application Create</w:t>
      </w:r>
    </w:p>
    <w:p>
      <w:pPr>
        <w:pStyle w:val="FirstParagraph"/>
      </w:pPr>
      <w:r>
        <w:t xml:space="preserve">POST /api/v1/los/application</w:t>
      </w:r>
    </w:p>
    <w:bookmarkStart w:id="53" w:name="request-6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“body”</w:t>
      </w:r>
      <w:r>
        <w:t xml:space="preserve">: {</w:t>
      </w:r>
      <w:r>
        <w:t xml:space="preserve"> </w:t>
      </w:r>
      <w:r>
        <w:t xml:space="preserve">“customerId”</w:t>
      </w:r>
      <w:r>
        <w:t xml:space="preserve">:</w:t>
      </w:r>
      <w:r>
        <w:t xml:space="preserve"> </w:t>
      </w:r>
      <w:r>
        <w:t xml:space="preserve">“C001”</w:t>
      </w:r>
      <w:r>
        <w:t xml:space="preserve">,</w:t>
      </w:r>
      <w:r>
        <w:t xml:space="preserve"> </w:t>
      </w:r>
      <w:r>
        <w:t xml:space="preserve">“loanAmount”</w:t>
      </w:r>
      <w:r>
        <w:t xml:space="preserve">: 200000,</w:t>
      </w:r>
      <w:r>
        <w:t xml:space="preserve"> </w:t>
      </w:r>
      <w:r>
        <w:t xml:space="preserve">“tenure”</w:t>
      </w:r>
      <w:r>
        <w:t xml:space="preserve">: 48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bookmarkEnd w:id="53"/>
    <w:bookmarkEnd w:id="54"/>
    <w:bookmarkStart w:id="55" w:name="approval"/>
    <w:p>
      <w:pPr>
        <w:pStyle w:val="Heading2"/>
      </w:pPr>
      <w:r>
        <w:t xml:space="preserve">8.2 Approval</w:t>
      </w:r>
    </w:p>
    <w:p>
      <w:pPr>
        <w:pStyle w:val="FirstParagraph"/>
      </w:pPr>
      <w:r>
        <w:t xml:space="preserve">POST /api/v1/los/approve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operational-risk-apis"/>
    <w:p>
      <w:pPr>
        <w:pStyle w:val="Heading1"/>
      </w:pPr>
      <w:r>
        <w:t xml:space="preserve">9. OPERATIONAL RISK APIs</w:t>
      </w:r>
    </w:p>
    <w:bookmarkStart w:id="58" w:name="event-logging"/>
    <w:p>
      <w:pPr>
        <w:pStyle w:val="Heading2"/>
      </w:pPr>
      <w:r>
        <w:t xml:space="preserve">9.1 Event Logging</w:t>
      </w:r>
    </w:p>
    <w:p>
      <w:pPr>
        <w:pStyle w:val="FirstParagraph"/>
      </w:pPr>
      <w:r>
        <w:t xml:space="preserve">POST /api/v1/risk/event</w:t>
      </w:r>
    </w:p>
    <w:bookmarkStart w:id="57" w:name="request-7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“body”</w:t>
      </w:r>
      <w:r>
        <w:t xml:space="preserve">: {</w:t>
      </w:r>
      <w:r>
        <w:t xml:space="preserve"> </w:t>
      </w:r>
      <w:r>
        <w:t xml:space="preserve">“eventType”</w:t>
      </w:r>
      <w:r>
        <w:t xml:space="preserve">:</w:t>
      </w:r>
      <w:r>
        <w:t xml:space="preserve"> </w:t>
      </w:r>
      <w:r>
        <w:t xml:space="preserve">“SYSTEM_FAILURE”</w:t>
      </w:r>
      <w:r>
        <w:t xml:space="preserve">,</w:t>
      </w:r>
      <w:r>
        <w:t xml:space="preserve"> </w:t>
      </w:r>
      <w:r>
        <w:t xml:space="preserve">“lossAmount”</w:t>
      </w:r>
      <w:r>
        <w:t xml:space="preserve">: 10000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bookmarkEnd w:id="57"/>
    <w:bookmarkEnd w:id="58"/>
    <w:bookmarkStart w:id="59" w:name="kri-fetch"/>
    <w:p>
      <w:pPr>
        <w:pStyle w:val="Heading2"/>
      </w:pPr>
      <w:r>
        <w:t xml:space="preserve">9.2 KRI Fetch</w:t>
      </w:r>
    </w:p>
    <w:p>
      <w:pPr>
        <w:pStyle w:val="FirstParagraph"/>
      </w:pPr>
      <w:r>
        <w:t xml:space="preserve">GET /api/v1/risk/kri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alm-ftp-apis"/>
    <w:p>
      <w:pPr>
        <w:pStyle w:val="Heading1"/>
      </w:pPr>
      <w:r>
        <w:t xml:space="preserve">10. ALM / FTP APIs</w:t>
      </w:r>
    </w:p>
    <w:bookmarkStart w:id="62" w:name="gap-analysis"/>
    <w:p>
      <w:pPr>
        <w:pStyle w:val="Heading2"/>
      </w:pPr>
      <w:r>
        <w:t xml:space="preserve">10.1 GAP Analysis</w:t>
      </w:r>
    </w:p>
    <w:p>
      <w:pPr>
        <w:pStyle w:val="FirstParagraph"/>
      </w:pPr>
      <w:r>
        <w:t xml:space="preserve">POST /api/v1/alm/gap</w:t>
      </w:r>
    </w:p>
    <w:bookmarkStart w:id="61" w:name="request-8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“body”</w:t>
      </w:r>
      <w:r>
        <w:t xml:space="preserve">: {</w:t>
      </w:r>
      <w:r>
        <w:t xml:space="preserve"> </w:t>
      </w:r>
      <w:r>
        <w:t xml:space="preserve">“bucket”</w:t>
      </w:r>
      <w:r>
        <w:t xml:space="preserve">:</w:t>
      </w:r>
      <w:r>
        <w:t xml:space="preserve"> </w:t>
      </w:r>
      <w:r>
        <w:t xml:space="preserve">“1Y”</w:t>
      </w:r>
      <w:r>
        <w:t xml:space="preserve">,</w:t>
      </w:r>
      <w:r>
        <w:t xml:space="preserve"> </w:t>
      </w:r>
      <w:r>
        <w:t xml:space="preserve">“assets”</w:t>
      </w:r>
      <w:r>
        <w:t xml:space="preserve">: 1000000,</w:t>
      </w:r>
      <w:r>
        <w:t xml:space="preserve"> </w:t>
      </w:r>
      <w:r>
        <w:t xml:space="preserve">“liabilities”</w:t>
      </w:r>
      <w:r>
        <w:t xml:space="preserve">: 800000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bookmarkEnd w:id="61"/>
    <w:bookmarkEnd w:id="62"/>
    <w:bookmarkStart w:id="63" w:name="ftp-calculation"/>
    <w:p>
      <w:pPr>
        <w:pStyle w:val="Heading2"/>
      </w:pPr>
      <w:r>
        <w:t xml:space="preserve">10.2 FTP Calculation</w:t>
      </w:r>
    </w:p>
    <w:p>
      <w:pPr>
        <w:pStyle w:val="FirstParagraph"/>
      </w:pPr>
      <w:r>
        <w:t xml:space="preserve">POST /api/v1/ftp/calculate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end-to-end-flow-critical"/>
    <w:p>
      <w:pPr>
        <w:pStyle w:val="Heading1"/>
      </w:pPr>
      <w:r>
        <w:t xml:space="preserve">11. END-TO-END FLOW (CRITICAL)</w:t>
      </w:r>
    </w:p>
    <w:p>
      <w:pPr>
        <w:pStyle w:val="FirstParagraph"/>
      </w:pPr>
      <w:r>
        <w:t xml:space="preserve">LOS → LMS → CBS → DWH → EWS/AML/IFRS/ALM → APIs → Dashboard</w:t>
      </w:r>
    </w:p>
    <w:p>
      <w:r>
        <w:pict>
          <v:rect style="width:0;height:1.5pt" o:hralign="center" o:hrstd="t" o:hr="t"/>
        </w:pict>
      </w:r>
    </w:p>
    <w:bookmarkEnd w:id="65"/>
    <w:bookmarkStart w:id="66" w:name="performance-sla"/>
    <w:p>
      <w:pPr>
        <w:pStyle w:val="Heading1"/>
      </w:pPr>
      <w:r>
        <w:t xml:space="preserve">12. PERFORMANCE &amp; SLA</w:t>
      </w:r>
    </w:p>
    <w:p>
      <w:pPr>
        <w:pStyle w:val="Compact"/>
        <w:numPr>
          <w:ilvl w:val="0"/>
          <w:numId w:val="1005"/>
        </w:numPr>
      </w:pPr>
      <w:r>
        <w:t xml:space="preserve">API Response: &lt;300 ms</w:t>
      </w:r>
    </w:p>
    <w:p>
      <w:pPr>
        <w:pStyle w:val="Compact"/>
        <w:numPr>
          <w:ilvl w:val="0"/>
          <w:numId w:val="1005"/>
        </w:numPr>
      </w:pPr>
      <w:r>
        <w:t xml:space="preserve">Batch Load: 1M+ records/hour</w:t>
      </w:r>
    </w:p>
    <w:p>
      <w:pPr>
        <w:pStyle w:val="Compact"/>
        <w:numPr>
          <w:ilvl w:val="0"/>
          <w:numId w:val="1005"/>
        </w:numPr>
      </w:pPr>
      <w:r>
        <w:t xml:space="preserve">Availability: 99.9%</w:t>
      </w:r>
    </w:p>
    <w:p>
      <w:r>
        <w:pict>
          <v:rect style="width:0;height:1.5pt" o:hralign="center" o:hrstd="t" o:hr="t"/>
        </w:pict>
      </w:r>
    </w:p>
    <w:bookmarkEnd w:id="66"/>
    <w:bookmarkStart w:id="67" w:name="security"/>
    <w:p>
      <w:pPr>
        <w:pStyle w:val="Heading1"/>
      </w:pPr>
      <w:r>
        <w:t xml:space="preserve">13. SECURITY</w:t>
      </w:r>
    </w:p>
    <w:p>
      <w:pPr>
        <w:pStyle w:val="Compact"/>
        <w:numPr>
          <w:ilvl w:val="0"/>
          <w:numId w:val="1006"/>
        </w:numPr>
      </w:pPr>
      <w:r>
        <w:t xml:space="preserve">TLS 1.2+</w:t>
      </w:r>
    </w:p>
    <w:p>
      <w:pPr>
        <w:pStyle w:val="Compact"/>
        <w:numPr>
          <w:ilvl w:val="0"/>
          <w:numId w:val="1006"/>
        </w:numPr>
      </w:pPr>
      <w:r>
        <w:t xml:space="preserve">Role-based access</w:t>
      </w:r>
    </w:p>
    <w:p>
      <w:pPr>
        <w:pStyle w:val="Compact"/>
        <w:numPr>
          <w:ilvl w:val="0"/>
          <w:numId w:val="1006"/>
        </w:numPr>
      </w:pPr>
      <w:r>
        <w:t xml:space="preserve">Data encryption</w:t>
      </w:r>
    </w:p>
    <w:p>
      <w:r>
        <w:pict>
          <v:rect style="width:0;height:1.5pt" o:hralign="center" o:hrstd="t" o:hr="t"/>
        </w:pict>
      </w:r>
    </w:p>
    <w:bookmarkEnd w:id="67"/>
    <w:bookmarkStart w:id="68" w:name="audit-logging"/>
    <w:p>
      <w:pPr>
        <w:pStyle w:val="Heading1"/>
      </w:pPr>
      <w:r>
        <w:t xml:space="preserve">14. AUDIT &amp; LOGGING</w:t>
      </w:r>
    </w:p>
    <w:p>
      <w:pPr>
        <w:pStyle w:val="Compact"/>
        <w:numPr>
          <w:ilvl w:val="0"/>
          <w:numId w:val="1007"/>
        </w:numPr>
      </w:pPr>
      <w:r>
        <w:t xml:space="preserve">Full API logs</w:t>
      </w:r>
    </w:p>
    <w:p>
      <w:pPr>
        <w:pStyle w:val="Compact"/>
        <w:numPr>
          <w:ilvl w:val="0"/>
          <w:numId w:val="1007"/>
        </w:numPr>
      </w:pPr>
      <w:r>
        <w:t xml:space="preserve">Regulatory audit trail</w:t>
      </w:r>
    </w:p>
    <w:p>
      <w:r>
        <w:pict>
          <v:rect style="width:0;height:1.5pt" o:hralign="center" o:hrstd="t" o:hr="t"/>
        </w:pict>
      </w:r>
    </w:p>
    <w:bookmarkEnd w:id="68"/>
    <w:bookmarkStart w:id="69" w:name="final-positioning"/>
    <w:p>
      <w:pPr>
        <w:pStyle w:val="Heading1"/>
      </w:pPr>
      <w:r>
        <w:t xml:space="preserve">15. FINAL POSITIONING</w:t>
      </w:r>
    </w:p>
    <w:p>
      <w:pPr>
        <w:pStyle w:val="FirstParagraph"/>
      </w:pPr>
      <w:r>
        <w:t xml:space="preserve">This API layer supports:</w:t>
      </w:r>
      <w:r>
        <w:t xml:space="preserve"> </w:t>
      </w:r>
      <w:r>
        <w:t xml:space="preserve">- Real-time banking integration</w:t>
      </w:r>
      <w:r>
        <w:t xml:space="preserve"> </w:t>
      </w:r>
      <w:r>
        <w:t xml:space="preserve">- Risk &amp; compliance engines</w:t>
      </w:r>
      <w:r>
        <w:t xml:space="preserve"> </w:t>
      </w:r>
      <w:r>
        <w:t xml:space="preserve">- AI-driven analytics</w:t>
      </w:r>
      <w:r>
        <w:t xml:space="preserve"> </w:t>
      </w:r>
      <w:r>
        <w:t xml:space="preserve">- Regulatory reporting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2026-04-08T08:31:56Z</dcterms:created>
  <dcterms:modified xsi:type="dcterms:W3CDTF">2026-04-08T08:31:56Z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