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integration-and-access-specification"/>
    <w:p>
      <w:pPr>
        <w:pStyle w:val="Heading1"/>
      </w:pPr>
      <w:r>
        <w:t xml:space="preserve">Integration and Access Specification</w:t>
      </w:r>
    </w:p>
    <w:p>
      <w:pPr>
        <w:pStyle w:val="BlockText"/>
      </w:pPr>
      <w:r>
        <w:rPr>
          <w:bCs/>
          <w:b/>
        </w:rPr>
        <w:t xml:space="preserve">In simple words:</w:t>
      </w:r>
      <w:r>
        <w:t xml:space="preserve"> </w:t>
      </w:r>
      <w:r>
        <w:t xml:space="preserve">once the register is in a database, other offices (for example a central registration system) will want to check a birth record. This document says how they ask, what they're allowed to see, and who inside the ward can do what. Every change is recorded.</w:t>
      </w:r>
    </w:p>
    <w:bookmarkStart w:id="20" w:name="X482bde96c19fa9317c6e228661f4f7c0f09beb7"/>
    <w:p>
      <w:pPr>
        <w:pStyle w:val="Heading2"/>
      </w:pPr>
      <w:r>
        <w:t xml:space="preserve">1. Lookup interface for a central system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let an authorised central system confirm that a birth registration exists and matches the details it has, without exposing the whole record.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/v1/birth-registrations/{reg_no}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TLS plus an API key issued per calling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requests per minute per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of requests answered within 1 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per month, excluding announced 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request logged with caller, reg_no, time and result; logs kept 2 years</w:t>
            </w:r>
          </w:p>
        </w:tc>
      </w:tr>
    </w:tbl>
    <w:p>
      <w:pPr>
        <w:pStyle w:val="BodyText"/>
      </w:pPr>
      <w:r>
        <w:rPr>
          <w:bCs/>
          <w:b/>
        </w:rPr>
        <w:t xml:space="preserve">Successful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"BR-2079-0003"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"child_name"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"Hari Bahadur Karki"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"dob_ad"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"2022-11-22"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"dob_bs"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"2079/08/06"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"ward_no"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"municipality"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"Kathmandu Metropolitan City"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Parents' names, phone and address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returned; a central lookup only needs to confirm the record.</w:t>
      </w:r>
    </w:p>
    <w:p>
      <w:pPr>
        <w:pStyle w:val="BodyText"/>
      </w:pPr>
      <w:r>
        <w:rPr>
          <w:bCs/>
          <w:b/>
        </w:rPr>
        <w:t xml:space="preserve">Errors: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reg_no not in the format BR-YYYY-NNNN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{"code":"BAD_REG_NO","message":"..."}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or invalid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registration with that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{"code":"NOT_FOUND"}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is held for duplicate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{"code":"UNDER_REVIEW","message":"Contact the ward office"}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0"/>
    <w:bookmarkStart w:id="21" w:name="Xa45f508b879faa19dab10572ce0a9a20b34854d"/>
    <w:p>
      <w:pPr>
        <w:pStyle w:val="Heading2"/>
      </w:pPr>
      <w:r>
        <w:t xml:space="preserve">2. Who can do what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duplicates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rejects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 registrar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with reason (logged)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 chairperson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Municipality IT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system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fields only</w:t>
            </w:r>
          </w:p>
        </w:tc>
      </w:tr>
    </w:tbl>
    <w:p>
      <w:pPr>
        <w:pStyle w:val="BodyText"/>
      </w:pPr>
      <w:r>
        <w:t xml:space="preserve">Principles: each person sees only their own ward; nobody can delete a registration; administrators manage accounts but don't edit records.</w:t>
      </w:r>
    </w:p>
    <w:bookmarkEnd w:id="21"/>
    <w:bookmarkStart w:id="22" w:name="Xb33b47b67e1ea136a874e3d7db995ab1a40b928"/>
    <w:p>
      <w:pPr>
        <w:pStyle w:val="Heading2"/>
      </w:pPr>
      <w:r>
        <w:t xml:space="preserve">3. Audit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correction to a registration shall be written to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with field, old value, new value, user, time and reason.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correction without a reason shall be refused.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user or application role shall be able to change or delete audit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duplicate decision (Merge or Keep) shall be logged with the user and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central lookup request shall be logged, including those refused.</w:t>
            </w:r>
          </w:p>
        </w:tc>
      </w:tr>
    </w:tbl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2026-10-26T07:12:35Z</dcterms:created>
  <dcterms:modified xsi:type="dcterms:W3CDTF">2026-10-26T07:12:35Z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