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4m30o5xybbi" w:id="0"/>
      <w:bookmarkEnd w:id="0"/>
      <w:r w:rsidDel="00000000" w:rsidR="00000000" w:rsidRPr="00000000">
        <w:rPr>
          <w:rtl w:val="0"/>
        </w:rPr>
        <w:t xml:space="preserve">Volatility Spillover Analysis — Stablecoins &amp; Traditional Markets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9wlbf8neg5u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notebook analyses volatility spillover effects between stablecoins (USDT, USDC) and a set of traditional and crypto market factors. The methodology follows the </w:t>
      </w:r>
      <w:r w:rsidDel="00000000" w:rsidR="00000000" w:rsidRPr="00000000">
        <w:rPr>
          <w:b w:val="1"/>
          <w:bCs w:val="1"/>
          <w:rtl w:val="0"/>
        </w:rPr>
        <w:t xml:space="preserve">TVP-VAR Dynamic Connectedness Framework</w:t>
      </w:r>
      <w:r w:rsidDel="00000000" w:rsidR="00000000" w:rsidRPr="00000000">
        <w:rPr>
          <w:rtl w:val="0"/>
        </w:rPr>
        <w:t xml:space="preserve"> (Koop &amp; Korobilis, 2014; Antonakakis &amp; Gabauer, 2017), using Generalized Forecast Error Variance Decomposition (GFEVD) to quantify how volatility shocks transmit across markets.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Assets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Stablecoins: USDT/USD, USDC/USD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Crypto: Bitcoin (BTC), Ethereum (ETH)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Traditional: S&amp;P 500, DXY, Gold (XAU), KBW Bank Index, VIX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u50uhetw2he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5dvgyueb8v0l" w:id="3"/>
      <w:bookmarkEnd w:id="3"/>
      <w:r w:rsidDel="00000000" w:rsidR="00000000" w:rsidRPr="00000000">
        <w:rPr>
          <w:rtl w:val="0"/>
        </w:rPr>
        <w:t xml:space="preserve">Python Version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Python 3.9+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qcb3fdk4rigy" w:id="4"/>
      <w:bookmarkEnd w:id="4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Install all required packages with: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pip install pandas numpy matplotlib statsmodels scipy openpyxl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loading and manipulation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Numerical computation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Plotting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statsmodels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ADF, Ljung-Box, Jarque-Bera, OLS, VAR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scipy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Pearson correlation, statistical distributions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openpyxl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 files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jouankpbgwzb" w:id="5"/>
      <w:bookmarkEnd w:id="5"/>
      <w:r w:rsidDel="00000000" w:rsidR="00000000" w:rsidRPr="00000000">
        <w:rPr>
          <w:rtl w:val="0"/>
        </w:rPr>
        <w:t xml:space="preserve">Data Requirements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Place the following two Excel files inside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 folder in the same directory as the notebook: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77gkjhjtftbm" w:id="6"/>
      <w:bookmarkEnd w:id="6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data/traditional_market_data.xlsx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Daily OHLC data for traditional market instruments. Expected columns: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(will be renamed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 _DXY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 _DXY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 _DXY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 _DXY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 Dollar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 _XAU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 _XAU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 _XAU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 _XAU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 _VIX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 _VIX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 _VIX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VIX volatility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 _SP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 _SP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 _SP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 _SP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Volume_SP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S&amp;P 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 _KBW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 _KBW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 _KBW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 _KBW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Volume_KBW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KBW Bank Index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ponlhb8lts10" w:id="7"/>
      <w:bookmarkEnd w:id="7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data/crypto_ohlcv_data.xlsx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Daily OHLCV data for crypto assets. Expected columns: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USDT_USD_High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USDT_USD_Low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Tether OHLC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USDC_USD_High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USDC_USD_Low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 Coin OHLC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BTC_USD_High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BTC_USD_Low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Bitcoin OHLC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ETH_USD_High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ETH_USD_Low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Ethereum OHLC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Crypto data was sourced from Binance.US → Coinbase → Kraken → CoinDesk (in order of priority/availability). The two datasets are merged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with an outer join, and weekends are then dropped to align with traditional market trading days.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67awaz3jen7p" w:id="8"/>
      <w:bookmarkEnd w:id="8"/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├── traditional_market_data.xlsx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└── crypto_ohlcv_data.xlsx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Volatility_Spillover.ipynb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pk8lrv49b8nj" w:id="9"/>
      <w:bookmarkEnd w:id="9"/>
      <w:r w:rsidDel="00000000" w:rsidR="00000000" w:rsidRPr="00000000">
        <w:rPr>
          <w:rtl w:val="0"/>
        </w:rPr>
        <w:t xml:space="preserve">Notebook Structure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6tg2xqyapq4m" w:id="10"/>
      <w:bookmarkEnd w:id="10"/>
      <w:r w:rsidDel="00000000" w:rsidR="00000000" w:rsidRPr="00000000">
        <w:rPr>
          <w:rtl w:val="0"/>
        </w:rPr>
        <w:t xml:space="preserve">Section 1 — Data Loading &amp; Preprocessing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Loads both data files and merges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Drops weekend observations to align crypto and traditional market calendars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Subsets to High/Low columns needed for volatility computation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dd39uy6yd9le" w:id="11"/>
      <w:bookmarkEnd w:id="11"/>
      <w:r w:rsidDel="00000000" w:rsidR="00000000" w:rsidRPr="00000000">
        <w:rPr>
          <w:rtl w:val="0"/>
        </w:rPr>
        <w:t xml:space="preserve">Section 2 — Volatility Computation (Parkinson Estimator)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Computes daily volatility using the </w:t>
      </w:r>
      <w:r w:rsidDel="00000000" w:rsidR="00000000" w:rsidRPr="00000000">
        <w:rPr>
          <w:b w:val="1"/>
          <w:bCs w:val="1"/>
          <w:rtl w:val="0"/>
        </w:rPr>
        <w:t xml:space="preserve">Parkinson (1980)</w:t>
      </w:r>
      <w:r w:rsidDel="00000000" w:rsidR="00000000" w:rsidRPr="00000000">
        <w:rPr>
          <w:rtl w:val="0"/>
        </w:rPr>
        <w:t xml:space="preserve"> extreme-value estimator: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$$V_t = \sqrt{\frac{(\ln P_{h,t} - \ln P_{l,t})^2}{4 \ln 2}}$$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where $P_{h,t}$ and $P_{l,t}$ are the daily high and low prices. VIX is used as a level variable (midpoint of High/Low) rather than a Parkinson-derived volatility.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34gl97rq8iwt" w:id="12"/>
      <w:bookmarkEnd w:id="12"/>
      <w:r w:rsidDel="00000000" w:rsidR="00000000" w:rsidRPr="00000000">
        <w:rPr>
          <w:rtl w:val="0"/>
        </w:rPr>
        <w:t xml:space="preserve">Section 3 — Descriptive Statistics (Table 2.1)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For each volatility series, reports: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Number of observations, mean, and standard deviation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ADF test</w:t>
      </w:r>
      <w:r w:rsidDel="00000000" w:rsidR="00000000" w:rsidRPr="00000000">
        <w:rPr>
          <w:rtl w:val="0"/>
        </w:rPr>
        <w:t xml:space="preserve"> (unit root / stationarity)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Jarque-Bera test</w:t>
      </w:r>
      <w:r w:rsidDel="00000000" w:rsidR="00000000" w:rsidRPr="00000000">
        <w:rPr>
          <w:rtl w:val="0"/>
        </w:rPr>
        <w:t xml:space="preserve"> (normality / fat tails)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Ljung-Box Q(10)</w:t>
      </w:r>
      <w:r w:rsidDel="00000000" w:rsidR="00000000" w:rsidRPr="00000000">
        <w:rPr>
          <w:rtl w:val="0"/>
        </w:rPr>
        <w:t xml:space="preserve"> (autocorrelation / volatility clustering)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Significance levels: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  <w:r w:rsidDel="00000000" w:rsidR="00000000" w:rsidRPr="00000000">
        <w:rPr>
          <w:rtl w:val="0"/>
        </w:rPr>
        <w:t xml:space="preserve"> p&lt;0.01,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  <w:r w:rsidDel="00000000" w:rsidR="00000000" w:rsidRPr="00000000">
        <w:rPr>
          <w:rtl w:val="0"/>
        </w:rPr>
        <w:t xml:space="preserve"> p&lt;0.05,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p&lt;0.10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qa3lshdi4wy4" w:id="13"/>
      <w:bookmarkEnd w:id="13"/>
      <w:r w:rsidDel="00000000" w:rsidR="00000000" w:rsidRPr="00000000">
        <w:rPr>
          <w:rtl w:val="0"/>
        </w:rPr>
        <w:t xml:space="preserve">Section 4 — Data Quality Check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Flags stablecoin observations with suspiciously high Parkinson volatility (threshold: 0.15), printing the associated High/Low values for inspection.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s92v9gvzrok1" w:id="14"/>
      <w:bookmarkEnd w:id="14"/>
      <w:r w:rsidDel="00000000" w:rsidR="00000000" w:rsidRPr="00000000">
        <w:rPr>
          <w:rtl w:val="0"/>
        </w:rPr>
        <w:t xml:space="preserve">Section 5 — Correlation &amp; Multicollinearity Analysis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Pearson correlation table between stablecoin volatilities and each factor, with p-values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correlation matrix across all variables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VIF</w:t>
      </w:r>
      <w:r w:rsidDel="00000000" w:rsidR="00000000" w:rsidRPr="00000000">
        <w:rPr>
          <w:rtl w:val="0"/>
        </w:rPr>
        <w:t xml:space="preserve"> (Variance Inflation Factor) for each factor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Eigenvalue-based condition number to detect multicollinearity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6o1l85v4g466" w:id="15"/>
      <w:bookmarkEnd w:id="15"/>
      <w:r w:rsidDel="00000000" w:rsidR="00000000" w:rsidRPr="00000000">
        <w:rPr>
          <w:rtl w:val="0"/>
        </w:rPr>
        <w:t xml:space="preserve">Section 6 — OLS Regression (Table 2.2)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Runs OLS regressions of each stablecoin's volatility on all factors: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$$V_{SC,t} = \beta_0 + \beta_1 V_{BTC,t} + \beta_2 V_{ETH,t} + \beta_3 V_{DXY,t} + \beta_4 V_{S&amp;P500,t} + \beta_5 V_{SC,t-1} + \beta_6 V_{KBW,t} + \beta_7 V_{XAU,t} + \beta_8 L_{VIX,t} + \boldsymbol{\beta}</w:t>
      </w:r>
      <w:r w:rsidDel="00000000" w:rsidR="00000000" w:rsidRPr="00000000">
        <w:rPr>
          <w:i w:val="1"/>
          <w:iCs w:val="1"/>
          <w:rtl w:val="0"/>
        </w:rPr>
        <w:t xml:space="preserve">9^\top \mathbf{D}</w:t>
      </w:r>
      <w:r w:rsidDel="00000000" w:rsidR="00000000" w:rsidRPr="00000000">
        <w:rPr>
          <w:rtl w:val="0"/>
        </w:rPr>
        <w:t xml:space="preserve">{\text{year}} + \epsilon_t$$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Both USDT and USDC lagged volatility are included in each equation (own-lag and cross-lag)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Standard errors: </w:t>
      </w:r>
      <w:r w:rsidDel="00000000" w:rsidR="00000000" w:rsidRPr="00000000">
        <w:rPr>
          <w:b w:val="1"/>
          <w:bCs w:val="1"/>
          <w:rtl w:val="0"/>
        </w:rPr>
        <w:t xml:space="preserve">Newey-West HAC</w:t>
      </w:r>
      <w:r w:rsidDel="00000000" w:rsidR="00000000" w:rsidRPr="00000000">
        <w:rPr>
          <w:rtl w:val="0"/>
        </w:rPr>
        <w:t xml:space="preserve"> (maxlags=10) to account for autocorrelation and heteroskedasticity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Year fixed effects via dummy variables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Breusch-Pagan test</w:t>
      </w:r>
      <w:r w:rsidDel="00000000" w:rsidR="00000000" w:rsidRPr="00000000">
        <w:rPr>
          <w:rtl w:val="0"/>
        </w:rPr>
        <w:t xml:space="preserve"> reported to justify HAC standard errors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3d7uyc91go0h" w:id="16"/>
      <w:bookmarkEnd w:id="16"/>
      <w:r w:rsidDel="00000000" w:rsidR="00000000" w:rsidRPr="00000000">
        <w:rPr>
          <w:rtl w:val="0"/>
        </w:rPr>
        <w:t xml:space="preserve">Section 7 — Static Spillover Table (VAR-based, Table 2.3)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Fits a VAR model with lag order selected by </w:t>
      </w:r>
      <w:r w:rsidDel="00000000" w:rsidR="00000000" w:rsidRPr="00000000">
        <w:rPr>
          <w:b w:val="1"/>
          <w:bCs w:val="1"/>
          <w:rtl w:val="0"/>
        </w:rPr>
        <w:t xml:space="preserve">BIC</w:t>
      </w:r>
      <w:r w:rsidDel="00000000" w:rsidR="00000000" w:rsidRPr="00000000">
        <w:rPr>
          <w:rtl w:val="0"/>
        </w:rPr>
        <w:t xml:space="preserve"> (up to 10 lags)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Computes </w:t>
      </w:r>
      <w:r w:rsidDel="00000000" w:rsidR="00000000" w:rsidRPr="00000000">
        <w:rPr>
          <w:b w:val="1"/>
          <w:bCs w:val="1"/>
          <w:rtl w:val="0"/>
        </w:rPr>
        <w:t xml:space="preserve">GFEVD</w:t>
      </w:r>
      <w:r w:rsidDel="00000000" w:rsidR="00000000" w:rsidRPr="00000000">
        <w:rPr>
          <w:rtl w:val="0"/>
        </w:rPr>
        <w:t xml:space="preserve"> (Pesaran &amp; Shin, 1998) over H=10 forecast steps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Reports the full spillover table with FROM, TO, and NET contributions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Reports the </w:t>
      </w:r>
      <w:r w:rsidDel="00000000" w:rsidR="00000000" w:rsidRPr="00000000">
        <w:rPr>
          <w:b w:val="1"/>
          <w:bCs w:val="1"/>
          <w:rtl w:val="0"/>
        </w:rPr>
        <w:t xml:space="preserve">Total Spillover Index (TSI)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1eprb4ihlqki" w:id="17"/>
      <w:bookmarkEnd w:id="17"/>
      <w:r w:rsidDel="00000000" w:rsidR="00000000" w:rsidRPr="00000000">
        <w:rPr>
          <w:rtl w:val="0"/>
        </w:rPr>
        <w:t xml:space="preserve">Section 8 — TVP-VAR Dynamic Spillovers (Table 2.4)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Implements </w:t>
      </w:r>
      <w:r w:rsidDel="00000000" w:rsidR="00000000" w:rsidRPr="00000000">
        <w:rPr>
          <w:b w:val="1"/>
          <w:bCs w:val="1"/>
          <w:rtl w:val="0"/>
        </w:rPr>
        <w:t xml:space="preserve">TVP-VAR with forgetting factors</w:t>
      </w:r>
      <w:r w:rsidDel="00000000" w:rsidR="00000000" w:rsidRPr="00000000">
        <w:rPr>
          <w:rtl w:val="0"/>
        </w:rPr>
        <w:t xml:space="preserve"> (Koop &amp; Korobilis, 2014):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Kalman filter with coefficient forgetting factor λ=0.99 and variance forgetting factor κ=0.96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Initialised using OLS on the first 10% of the sample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GFEVD computed at every time step and averaged (post burn-in) to produce a time-averaged static table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twice: once with p=1 lag, once with p=2 lags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2gki3sndan8y" w:id="18"/>
      <w:bookmarkEnd w:id="18"/>
      <w:r w:rsidDel="00000000" w:rsidR="00000000" w:rsidRPr="00000000">
        <w:rPr>
          <w:rtl w:val="0"/>
        </w:rPr>
        <w:t xml:space="preserve">Key Parameters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Forecast horizon for GFEVD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TVP-VAR coefficient forgetting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TVP-VAR variance forgetting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init_obs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max(10% of T, N×p+5)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Kalman filter initialisation window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lags for BIC selection in VAR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cov_type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 (maxlags=10)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OLS standard error correction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6oel2ukjmxjc" w:id="19"/>
      <w:bookmarkEnd w:id="19"/>
      <w:r w:rsidDel="00000000" w:rsidR="00000000" w:rsidRPr="00000000">
        <w:rPr>
          <w:rtl w:val="0"/>
        </w:rPr>
        <w:t xml:space="preserve">Outputs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stablecoin_volatility.png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series plot of USDT and USDC Parkinson volatility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Console 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Descriptive stats, correlations, VIF, regression results, spillover tables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h98eh8hs4ipd" w:id="20"/>
      <w:bookmarkEnd w:id="20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Parkinson, M. (1980). The Extreme Value Method for Estimating the Variance of the Rate of Return. </w:t>
      </w:r>
      <w:r w:rsidDel="00000000" w:rsidR="00000000" w:rsidRPr="00000000">
        <w:rPr>
          <w:i w:val="1"/>
          <w:iCs w:val="1"/>
          <w:rtl w:val="0"/>
        </w:rPr>
        <w:t xml:space="preserve">Journal of Business</w:t>
      </w:r>
      <w:r w:rsidDel="00000000" w:rsidR="00000000" w:rsidRPr="00000000">
        <w:rPr>
          <w:rtl w:val="0"/>
        </w:rPr>
        <w:t xml:space="preserve">, 53(1), 61–65.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Pesaran, H.H., &amp; Shin, Y. (1998). Generalized Impulse Response Analysis in Linear Multivariate Models. </w:t>
      </w:r>
      <w:r w:rsidDel="00000000" w:rsidR="00000000" w:rsidRPr="00000000">
        <w:rPr>
          <w:i w:val="1"/>
          <w:iCs w:val="1"/>
          <w:rtl w:val="0"/>
        </w:rPr>
        <w:t xml:space="preserve">Economics Letters</w:t>
      </w:r>
      <w:r w:rsidDel="00000000" w:rsidR="00000000" w:rsidRPr="00000000">
        <w:rPr>
          <w:rtl w:val="0"/>
        </w:rPr>
        <w:t xml:space="preserve">, 58(1), 17–29.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Diebold, F.X., &amp; Yilmaz, K. (2012). Better to Give than to Receive: Predictive Directional Measurement of Volatility Spillovers. </w:t>
      </w:r>
      <w:r w:rsidDel="00000000" w:rsidR="00000000" w:rsidRPr="00000000">
        <w:rPr>
          <w:i w:val="1"/>
          <w:iCs w:val="1"/>
          <w:rtl w:val="0"/>
        </w:rPr>
        <w:t xml:space="preserve">International Journal of Forecasting</w:t>
      </w:r>
      <w:r w:rsidDel="00000000" w:rsidR="00000000" w:rsidRPr="00000000">
        <w:rPr>
          <w:rtl w:val="0"/>
        </w:rPr>
        <w:t xml:space="preserve">, 28(1), 57–66.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Koop, G., &amp; Korobilis, D. (2014). A New Index of Financial Conditions. </w:t>
      </w:r>
      <w:r w:rsidDel="00000000" w:rsidR="00000000" w:rsidRPr="00000000">
        <w:rPr>
          <w:i w:val="1"/>
          <w:iCs w:val="1"/>
          <w:rtl w:val="0"/>
        </w:rPr>
        <w:t xml:space="preserve">European Economic Review</w:t>
      </w:r>
      <w:r w:rsidDel="00000000" w:rsidR="00000000" w:rsidRPr="00000000">
        <w:rPr>
          <w:rtl w:val="0"/>
        </w:rPr>
        <w:t xml:space="preserve">, 71, 101–116.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Antonakakis, N., &amp; Gabauer, D. (2017). Refined Measures of Dynamic Connectedness based on TVP-VAR. </w:t>
      </w:r>
      <w:r w:rsidDel="00000000" w:rsidR="00000000" w:rsidRPr="00000000">
        <w:rPr>
          <w:i w:val="1"/>
          <w:iCs w:val="1"/>
          <w:rtl w:val="0"/>
        </w:rPr>
        <w:t xml:space="preserve">MPRA Paper No. 78282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