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p>
    <w:p>
      <w:pPr>
        <w:spacing w:before="800"/>
        <w:jc w:val="center"/>
      </w:pPr>
      <w:r>
        <w:rPr>
          <w:rFonts w:ascii="Arial" w:cs="Arial" w:eastAsia="Arial" w:hAnsi="Arial"/>
          <w:b/>
          <w:bCs/>
          <w:color w:val="1F3864"/>
          <w:sz w:val="28"/>
          <w:szCs w:val="28"/>
        </w:rPr>
        <w:t xml:space="preserve">T.C.</w:t>
      </w:r>
    </w:p>
    <w:p>
      <w:pPr>
        <w:jc w:val="center"/>
      </w:pPr>
      <w:r>
        <w:rPr>
          <w:rFonts w:ascii="Arial" w:cs="Arial" w:eastAsia="Arial" w:hAnsi="Arial"/>
          <w:b/>
          <w:bCs/>
          <w:color w:val="1F3864"/>
          <w:sz w:val="28"/>
          <w:szCs w:val="28"/>
        </w:rPr>
        <w:t xml:space="preserve">BALIKESİR BÜYÜKŞEHİR BELEDİYESİ</w:t>
      </w:r>
    </w:p>
    <w:p>
      <w:pPr>
        <w:spacing w:after="600"/>
        <w:jc w:val="center"/>
      </w:pPr>
      <w:r>
        <w:rPr>
          <w:rFonts w:ascii="Arial" w:cs="Arial" w:eastAsia="Arial" w:hAnsi="Arial"/>
          <w:b/>
          <w:bCs/>
          <w:color w:val="2E75B6"/>
          <w:sz w:val="26"/>
          <w:szCs w:val="26"/>
        </w:rPr>
        <w:t xml:space="preserve">BURHANİYE İLÇESİ</w:t>
      </w:r>
    </w:p>
    <w:p>
      <w:pPr>
        <w:spacing w:before="400"/>
        <w:jc w:val="center"/>
      </w:pPr>
      <w:r>
        <w:rPr>
          <w:rFonts w:ascii="Arial" w:cs="Arial" w:eastAsia="Arial" w:hAnsi="Arial"/>
          <w:b/>
          <w:bCs/>
          <w:color w:val="1F3864"/>
          <w:sz w:val="36"/>
          <w:szCs w:val="36"/>
        </w:rPr>
        <w:t xml:space="preserve">MEMİŞ MAHALLESİ 34 ADA 5 PARSEL</w:t>
      </w:r>
    </w:p>
    <w:p>
      <w:pPr>
        <w:spacing w:before="200"/>
        <w:jc w:val="center"/>
      </w:pPr>
      <w:r>
        <w:rPr>
          <w:rFonts w:ascii="Arial" w:cs="Arial" w:eastAsia="Arial" w:hAnsi="Arial"/>
          <w:b/>
          <w:bCs/>
          <w:color w:val="1F3864"/>
          <w:sz w:val="30"/>
          <w:szCs w:val="30"/>
        </w:rPr>
        <w:t xml:space="preserve">VE ÇEVRESİ</w:t>
      </w:r>
    </w:p>
    <w:p>
      <w:pPr>
        <w:spacing w:after="200" w:before="600"/>
        <w:jc w:val="center"/>
      </w:pPr>
      <w:r>
        <w:rPr>
          <w:rFonts w:ascii="Arial" w:cs="Arial" w:eastAsia="Arial" w:hAnsi="Arial"/>
          <w:b/>
          <w:bCs/>
          <w:color w:val="C00000"/>
          <w:sz w:val="28"/>
          <w:szCs w:val="28"/>
        </w:rPr>
        <w:t xml:space="preserve">1/25000, 1/5000 ve 1/1000 ÖLÇEKLİ</w:t>
      </w:r>
    </w:p>
    <w:p>
      <w:pPr>
        <w:jc w:val="center"/>
      </w:pPr>
      <w:r>
        <w:rPr>
          <w:rFonts w:ascii="Arial" w:cs="Arial" w:eastAsia="Arial" w:hAnsi="Arial"/>
          <w:b/>
          <w:bCs/>
          <w:color w:val="C00000"/>
          <w:sz w:val="40"/>
          <w:szCs w:val="40"/>
        </w:rPr>
        <w:t xml:space="preserve">İMAR PLANI</w:t>
      </w:r>
    </w:p>
    <w:p>
      <w:pPr>
        <w:spacing w:before="200"/>
        <w:jc w:val="center"/>
      </w:pPr>
      <w:r>
        <w:rPr>
          <w:rFonts w:ascii="Arial" w:cs="Arial" w:eastAsia="Arial" w:hAnsi="Arial"/>
          <w:b/>
          <w:bCs/>
          <w:color w:val="1F3864"/>
          <w:sz w:val="32"/>
          <w:szCs w:val="32"/>
        </w:rPr>
        <w:t xml:space="preserve">PLAN AÇIKLAMA RAPORU</w:t>
      </w:r>
    </w:p>
    <w:p>
      <w:pPr>
        <w:spacing w:before="800"/>
        <w:jc w:val="center"/>
      </w:pPr>
      <w:r>
        <w:rPr>
          <w:rFonts w:ascii="Arial" w:cs="Arial" w:eastAsia="Arial" w:hAnsi="Arial"/>
          <w:i/>
          <w:iCs/>
          <w:color w:val="666666"/>
          <w:sz w:val="24"/>
          <w:szCs w:val="24"/>
        </w:rPr>
        <w:t xml:space="preserve">Araştırma ve Analiz Çalışması</w:t>
      </w:r>
    </w:p>
    <w:p>
      <w:pPr>
        <w:spacing w:before="1200"/>
        <w:jc w:val="center"/>
      </w:pPr>
      <w:r>
        <w:rPr>
          <w:rFonts w:ascii="Arial" w:cs="Arial" w:eastAsia="Arial" w:hAnsi="Arial"/>
          <w:b/>
          <w:bCs/>
          <w:color w:val="1F3864"/>
          <w:sz w:val="22"/>
          <w:szCs w:val="22"/>
        </w:rPr>
        <w:t xml:space="preserve">HAZIRLAYAN</w:t>
      </w:r>
    </w:p>
    <w:p>
      <w:pPr>
        <w:jc w:val="center"/>
      </w:pPr>
      <w:r>
        <w:rPr>
          <w:rFonts w:ascii="Arial" w:cs="Arial" w:eastAsia="Arial" w:hAnsi="Arial"/>
          <w:b/>
          <w:bCs/>
          <w:sz w:val="24"/>
          <w:szCs w:val="24"/>
        </w:rPr>
        <w:t xml:space="preserve">Artline Proje</w:t>
      </w:r>
    </w:p>
    <w:p>
      <w:pPr>
        <w:spacing w:before="400"/>
        <w:jc w:val="center"/>
      </w:pPr>
      <w:r>
        <w:rPr>
          <w:rFonts w:ascii="Arial" w:cs="Arial" w:eastAsia="Arial" w:hAnsi="Arial"/>
          <w:color w:val="666666"/>
          <w:sz w:val="22"/>
          <w:szCs w:val="22"/>
        </w:rPr>
        <w:t xml:space="preserve">Mart 2026 - Burhaniye/BALIKESİR</w:t>
      </w:r>
    </w:p>
    <w:p>
      <w:r>
        <w:br w:type="page"/>
      </w:r>
    </w:p>
    <w:p>
      <w:pPr>
        <w:pStyle w:val="Heading1"/>
        <w:spacing w:after="200" w:before="400"/>
      </w:pPr>
      <w:r>
        <w:rPr>
          <w:rFonts w:ascii="Arial" w:cs="Arial" w:eastAsia="Arial" w:hAnsi="Arial"/>
          <w:b/>
          <w:bCs/>
          <w:color w:val="1F3864"/>
          <w:sz w:val="32"/>
          <w:szCs w:val="32"/>
        </w:rPr>
        <w:t xml:space="preserve">İÇİNDEKİLER</w:t>
      </w:r>
    </w:p>
    <w:sdt>
      <w:sdtPr>
        <w:alias w:val="İçindekiler"/>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rFonts w:ascii="Arial" w:cs="Arial" w:eastAsia="Arial" w:hAnsi="Arial"/>
          <w:b/>
          <w:bCs/>
          <w:color w:val="1F3864"/>
          <w:sz w:val="32"/>
          <w:szCs w:val="32"/>
        </w:rPr>
        <w:t xml:space="preserve">1. GİRİŞ VE AMAÇ</w:t>
      </w:r>
    </w:p>
    <w:p>
      <w:pPr>
        <w:pStyle w:val="Heading2"/>
        <w:spacing w:after="150" w:before="300"/>
      </w:pPr>
      <w:r>
        <w:rPr>
          <w:rFonts w:ascii="Arial" w:cs="Arial" w:eastAsia="Arial" w:hAnsi="Arial"/>
          <w:b/>
          <w:bCs/>
          <w:color w:val="2E75B6"/>
          <w:sz w:val="26"/>
          <w:szCs w:val="26"/>
        </w:rPr>
        <w:t xml:space="preserve">1.1. Planın Amacı</w:t>
      </w:r>
    </w:p>
    <w:p>
      <w:pPr>
        <w:spacing w:after="120" w:line="360"/>
        <w:jc w:val="both"/>
      </w:pPr>
      <w:r>
        <w:rPr>
          <w:rFonts w:ascii="Arial" w:cs="Arial" w:eastAsia="Arial" w:hAnsi="Arial"/>
          <w:sz w:val="22"/>
          <w:szCs w:val="22"/>
        </w:rPr>
        <w:t xml:space="preserve">İşbu plan açıklama raporu, Balıkesir İli, Burhaniye İlçesi, Memiş Mahallesi, 34 Ada 5 Parsel ve çevresine ilişkin 1/25000, 1/5000 ve 1/1000 ölçekli imar planlarının hazırlanması sürecinde gerçekleştirilen araştırma, analiz ve sentez çalışmalarını kapsamaktadır. Planlama çalışmasının temel amacı, söz konusu alanda 3194 sayılı İmar Kanunu, Mekansal Planlar Yapım Yönetmeliği ve ilgili diğer mevzuat hükümlerine uygun olarak sağlıklı, sürdürülebilir ve yaşanabilir bir kentsel mekan oluşturulmasına yönelik plan kararlarının bilimsel veriler ışığında üretilmesidir.</w:t>
      </w:r>
    </w:p>
    <w:p>
      <w:pPr>
        <w:spacing w:after="120" w:line="360"/>
        <w:jc w:val="both"/>
      </w:pPr>
      <w:r>
        <w:rPr>
          <w:rFonts w:ascii="Arial" w:cs="Arial" w:eastAsia="Arial" w:hAnsi="Arial"/>
          <w:sz w:val="22"/>
          <w:szCs w:val="22"/>
        </w:rPr>
        <w:t xml:space="preserve">Planlama alanı, Burhaniye ilçe merkezinin güneydoğusunda, Memiş Mahallesi sınırları içerisinde yer almakta olup, TKGM kayıtlarına göre 8.447,00 m² büyüklüğünde ve meyva bahçesi niteliğindedir. Alanın mevcut tarımsal niteliği göz önünde bulundurularak, yapılacak plan değişikliği ile bölgenin kentsel gelişim dinamiklerine uygun, çevresel değerleri koruyan, afet risklerini minimize eden ve yaşam kalitesini artıran bir yerleşim alanına dönüştürülmesi hedeflenmektedir.</w:t>
      </w:r>
    </w:p>
    <w:p>
      <w:pPr>
        <w:spacing w:after="120" w:line="360"/>
        <w:jc w:val="both"/>
      </w:pPr>
      <w:r>
        <w:rPr>
          <w:rFonts w:ascii="Arial" w:cs="Arial" w:eastAsia="Arial" w:hAnsi="Arial"/>
          <w:sz w:val="22"/>
          <w:szCs w:val="22"/>
        </w:rPr>
        <w:t xml:space="preserve">Bu rapor kapsamında, planlama alanı ve yakın çevresinin doğal yapı özellikleri, yapay çevre analizi, sosyo-ekonomik yapısı, ulaşım ve altyapı durumu, afet riskleri ve mülkiyet yapısı detaylı olarak incelenmiş; elde edilen veriler sentezlenerek plan kararlarına altlık oluşturulmuştur.</w:t>
      </w:r>
    </w:p>
    <w:p>
      <w:pPr>
        <w:pStyle w:val="Heading2"/>
        <w:spacing w:after="150" w:before="300"/>
      </w:pPr>
      <w:r>
        <w:rPr>
          <w:rFonts w:ascii="Arial" w:cs="Arial" w:eastAsia="Arial" w:hAnsi="Arial"/>
          <w:b/>
          <w:bCs/>
          <w:color w:val="2E75B6"/>
          <w:sz w:val="26"/>
          <w:szCs w:val="26"/>
        </w:rPr>
        <w:t xml:space="preserve">1.2. Planın Kapsamı</w:t>
      </w:r>
    </w:p>
    <w:p>
      <w:pPr>
        <w:spacing w:after="120" w:line="360"/>
        <w:jc w:val="both"/>
      </w:pPr>
      <w:r>
        <w:rPr>
          <w:rFonts w:ascii="Arial" w:cs="Arial" w:eastAsia="Arial" w:hAnsi="Arial"/>
          <w:sz w:val="22"/>
          <w:szCs w:val="22"/>
        </w:rPr>
        <w:t xml:space="preserve">Planlama çalışması üç farklı ölçekte yürütülmektedir. 1/25000 ölçekli Çevre Düzeni Planı kapsamında Burhaniye ilçesinin bütünü ele alınarak makroform kararları, ana ulaşım aksları, büyük yeşil alan sistemleri ve koruma alanları belirlenmiştir. 1/5000 ölçekli Nazım İmar Planı kapsamında planlama alanı ve çevresinin arazi kullanım kararları, nüfus ve yoğunluk dağılımı, ulaşım sistemi, sosyal donatı alanları ve teknik altyapı planlanmıştır. 1/1000 ölçekli Uygulama İmar Planı kapsamında ise ada ve parsel bazında yapılaşma koşulları, yol genişlikleri, yapı yaklaşma sınırları ve kentsel tasarım ilkeleri detaylandırılmıştır.</w:t>
      </w:r>
    </w:p>
    <w:p>
      <w:pPr>
        <w:pStyle w:val="Heading2"/>
        <w:spacing w:after="150" w:before="300"/>
      </w:pPr>
      <w:r>
        <w:rPr>
          <w:rFonts w:ascii="Arial" w:cs="Arial" w:eastAsia="Arial" w:hAnsi="Arial"/>
          <w:b/>
          <w:bCs/>
          <w:color w:val="2E75B6"/>
          <w:sz w:val="26"/>
          <w:szCs w:val="26"/>
        </w:rPr>
        <w:t xml:space="preserve">1.3. Yasal ve Yönetsel Çerçeve</w:t>
      </w:r>
    </w:p>
    <w:p>
      <w:pPr>
        <w:spacing w:after="120" w:line="360"/>
        <w:jc w:val="both"/>
      </w:pPr>
      <w:r>
        <w:rPr>
          <w:rFonts w:ascii="Arial" w:cs="Arial" w:eastAsia="Arial" w:hAnsi="Arial"/>
          <w:sz w:val="22"/>
          <w:szCs w:val="22"/>
        </w:rPr>
        <w:t xml:space="preserve">Planlama çalışması, başta 3194 sayılı İmar Kanunu olmak üzere, 14.06.2014 tarih ve 29030 sayılı Resmi Gazete'de yayımlanan Mekansal Planlar Yapım Yönetmeliği, 6306 sayılı Afet Riski Altındaki Alanların Dönüştürülmesi Hakkında Kanun, 2872 sayılı Çevre Kanunu, 2863 sayılı Kültür ve Tabiat Varlıklarını Koruma Kanunu, 5393 sayılı Belediye Kanunu, 5216 sayılı Büyükşehir Belediyesi Kanunu, 7269 sayılı Umumi Hayata Müessir Afetler Dolayısıyla Alınacak Tedbirlerle Yapılacak Yardımlara Dair Kanun ve 3621 sayılı Kıyı Kanunu hükümleri çerçevesinde hazırlanmıştır.</w:t>
      </w:r>
    </w:p>
    <w:p>
      <w:pPr>
        <w:spacing w:after="120" w:line="360"/>
        <w:jc w:val="both"/>
      </w:pPr>
      <w:r>
        <w:rPr>
          <w:rFonts w:ascii="Arial" w:cs="Arial" w:eastAsia="Arial" w:hAnsi="Arial"/>
          <w:sz w:val="22"/>
          <w:szCs w:val="22"/>
        </w:rPr>
        <w:t xml:space="preserve">Ayrıca Planlı Alanlar İmar Yönetmeliği, Otopark Yönetmeliği, Türkiye Bina Deprem Yönetmeliği (2018), Balıkesir Büyükşehir Belediyesi İmar Yönetmeliği ve ilgili tüm yönetmelik, tebliğ ve genelgeler dikkate alınmıştır. İlgili kurum ve kuruluşlardan alınan görüş yazıları planlama kararlarının oluşturulmasında temel altlık olarak kullanılmıştır.</w:t>
      </w:r>
    </w:p>
    <w:p>
      <w:pPr>
        <w:pStyle w:val="Heading2"/>
        <w:spacing w:after="150" w:before="300"/>
      </w:pPr>
      <w:r>
        <w:rPr>
          <w:rFonts w:ascii="Arial" w:cs="Arial" w:eastAsia="Arial" w:hAnsi="Arial"/>
          <w:b/>
          <w:bCs/>
          <w:color w:val="2E75B6"/>
          <w:sz w:val="26"/>
          <w:szCs w:val="26"/>
        </w:rPr>
        <w:t xml:space="preserve">1.4. Planlama Süreci ve Metodoloji</w:t>
      </w:r>
    </w:p>
    <w:p>
      <w:pPr>
        <w:spacing w:after="120" w:line="360"/>
        <w:jc w:val="both"/>
      </w:pPr>
      <w:r>
        <w:rPr>
          <w:rFonts w:ascii="Arial" w:cs="Arial" w:eastAsia="Arial" w:hAnsi="Arial"/>
          <w:sz w:val="22"/>
          <w:szCs w:val="22"/>
        </w:rPr>
        <w:t xml:space="preserve">Planlama çalışması, 27.03.2026 tarihinde alınan vekaletname ile başlatılmış olup, sistematik bir metodoloji izlenerek yürütülmektedir. Süreç; veri toplama, arazi çalışması, analiz, sentez, plan kararlarının oluşturulması ve plan paftalarının hazırlanması aşamalarından oluşmaktadır. Toplam 360 günlük bir iş programı çerçevesinde yürütülen çalışma kapsamında 58 adet iş kalemi tanımlanmış ve CPM (Kritik Yol Metodu) yöntemiyle iş programı oluşturulmuştur.</w:t>
      </w:r>
    </w:p>
    <w:p>
      <w:r>
        <w:br w:type="page"/>
      </w:r>
    </w:p>
    <w:p>
      <w:pPr>
        <w:pStyle w:val="Heading1"/>
        <w:spacing w:after="200" w:before="400"/>
      </w:pPr>
      <w:r>
        <w:rPr>
          <w:rFonts w:ascii="Arial" w:cs="Arial" w:eastAsia="Arial" w:hAnsi="Arial"/>
          <w:b/>
          <w:bCs/>
          <w:color w:val="1F3864"/>
          <w:sz w:val="32"/>
          <w:szCs w:val="32"/>
        </w:rPr>
        <w:t xml:space="preserve">2. PLANLAMA ALANI TANIMI</w:t>
      </w:r>
    </w:p>
    <w:p>
      <w:pPr>
        <w:pStyle w:val="Heading2"/>
        <w:spacing w:after="150" w:before="300"/>
      </w:pPr>
      <w:r>
        <w:rPr>
          <w:rFonts w:ascii="Arial" w:cs="Arial" w:eastAsia="Arial" w:hAnsi="Arial"/>
          <w:b/>
          <w:bCs/>
          <w:color w:val="2E75B6"/>
          <w:sz w:val="26"/>
          <w:szCs w:val="26"/>
        </w:rPr>
        <w:t xml:space="preserve">2.1. Coğrafi Konum</w:t>
      </w:r>
    </w:p>
    <w:p>
      <w:pPr>
        <w:spacing w:after="120" w:line="360"/>
        <w:jc w:val="both"/>
      </w:pPr>
      <w:r>
        <w:rPr>
          <w:rFonts w:ascii="Arial" w:cs="Arial" w:eastAsia="Arial" w:hAnsi="Arial"/>
          <w:sz w:val="22"/>
          <w:szCs w:val="22"/>
        </w:rPr>
        <w:t xml:space="preserve">Planlama alanı, Balıkesir İli Burhaniye İlçesi Memiş Mahallesi sınırları içerisinde, 39°30'14.7"K enlemi ve 26°57'01.7"D boylamı koordinatlarında yer almaktadır (WGS84 Datum). Alan, Burhaniye ilçe merkezinin yaklaşık 1,5 km güneydoğusunda, Söğütlük mevkiinde konumlanmıştır. Deniz seviyesinden ortalama yüksekliği yaklaşık 40-50 metre olan alan, Edremit Körfezi kıyı şeridine kuş uçuşu yaklaşık 3,5 km mesafededir.</w:t>
      </w:r>
    </w:p>
    <w:p>
      <w:pPr>
        <w:spacing w:after="120" w:line="360"/>
        <w:jc w:val="both"/>
      </w:pPr>
      <w:r>
        <w:rPr>
          <w:rFonts w:ascii="Arial" w:cs="Arial" w:eastAsia="Arial" w:hAnsi="Arial"/>
          <w:sz w:val="22"/>
          <w:szCs w:val="22"/>
        </w:rPr>
        <w:t xml:space="preserve">Burhaniye ilçesi, Balıkesir İlinin kuzeybatısında, Edremit Körfezinin güneyinde yer almaktadır. İlçe, kuzeyinde Edremit, doğusunda Havran, güneyinde Gömeç ve Ayvalık, güneydoğusunda Bergama (İzmir) ilçeleri ile çevrilidir. Batısında ise Ege Denizi bulunmaktadır. İlçe, İzmir-Çanakkale karayolu üzerinde stratejik bir konuma sahiptir ve Balıkesir il merkezine yaklaşık 95 km uzaklıktadır.</w:t>
      </w:r>
    </w:p>
    <w:p>
      <w:pPr>
        <w:pStyle w:val="Heading2"/>
        <w:spacing w:after="150" w:before="300"/>
      </w:pPr>
      <w:r>
        <w:rPr>
          <w:rFonts w:ascii="Arial" w:cs="Arial" w:eastAsia="Arial" w:hAnsi="Arial"/>
          <w:b/>
          <w:bCs/>
          <w:color w:val="2E75B6"/>
          <w:sz w:val="26"/>
          <w:szCs w:val="26"/>
        </w:rPr>
        <w:t xml:space="preserve">2.2. Parsel Bilgileri</w:t>
      </w:r>
    </w:p>
    <w:p>
      <w:pPr>
        <w:spacing w:after="120" w:line="360"/>
        <w:jc w:val="both"/>
      </w:pPr>
      <w:r>
        <w:rPr>
          <w:rFonts w:ascii="Arial" w:cs="Arial" w:eastAsia="Arial" w:hAnsi="Arial"/>
          <w:sz w:val="22"/>
          <w:szCs w:val="22"/>
        </w:rPr>
        <w:t xml:space="preserve">Tapu ve Kadastro Genel Müdürlüğü kayıtlarından elde edilen parsel bilgileri aşağıdaki tabloda sunulmaktadır: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Özellik</w:t>
            </w:r>
          </w:p>
        </w:tc>
        <w:tc>
          <w:tcPr>
            <w:tcW w:type="dxa" w:w="5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Bilgi</w:t>
            </w:r>
          </w:p>
        </w:tc>
      </w:tr>
      <w:tr>
        <w:tc>
          <w:tcPr>
            <w:tcW w:type="dxa" w:w="3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İl</w:t>
            </w:r>
          </w:p>
        </w:tc>
        <w:tc>
          <w:tcPr>
            <w:tcW w:type="dxa" w:w="5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Balıkesir</w:t>
            </w:r>
          </w:p>
        </w:tc>
      </w:tr>
      <w:tr>
        <w:tc>
          <w:tcPr>
            <w:tcW w:type="dxa" w:w="3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İlçe</w:t>
            </w:r>
          </w:p>
        </w:tc>
        <w:tc>
          <w:tcPr>
            <w:tcW w:type="dxa" w:w="5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Burhaniye</w:t>
            </w:r>
          </w:p>
        </w:tc>
      </w:tr>
      <w:tr>
        <w:tc>
          <w:tcPr>
            <w:tcW w:type="dxa" w:w="3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Mahalle</w:t>
            </w:r>
          </w:p>
        </w:tc>
        <w:tc>
          <w:tcPr>
            <w:tcW w:type="dxa" w:w="5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Memiş</w:t>
            </w:r>
          </w:p>
        </w:tc>
      </w:tr>
      <w:tr>
        <w:tc>
          <w:tcPr>
            <w:tcW w:type="dxa" w:w="3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Ada No</w:t>
            </w:r>
          </w:p>
        </w:tc>
        <w:tc>
          <w:tcPr>
            <w:tcW w:type="dxa" w:w="5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34</w:t>
            </w:r>
          </w:p>
        </w:tc>
      </w:tr>
      <w:tr>
        <w:tc>
          <w:tcPr>
            <w:tcW w:type="dxa" w:w="3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Parsel No</w:t>
            </w:r>
          </w:p>
        </w:tc>
        <w:tc>
          <w:tcPr>
            <w:tcW w:type="dxa" w:w="5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5</w:t>
            </w:r>
          </w:p>
        </w:tc>
      </w:tr>
      <w:tr>
        <w:tc>
          <w:tcPr>
            <w:tcW w:type="dxa" w:w="3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Pafta</w:t>
            </w:r>
          </w:p>
        </w:tc>
        <w:tc>
          <w:tcPr>
            <w:tcW w:type="dxa" w:w="5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24 29-III</w:t>
            </w:r>
          </w:p>
        </w:tc>
      </w:tr>
      <w:tr>
        <w:tc>
          <w:tcPr>
            <w:tcW w:type="dxa" w:w="3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Alan</w:t>
            </w:r>
          </w:p>
        </w:tc>
        <w:tc>
          <w:tcPr>
            <w:tcW w:type="dxa" w:w="5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8.447,00 m²</w:t>
            </w:r>
          </w:p>
        </w:tc>
      </w:tr>
      <w:tr>
        <w:tc>
          <w:tcPr>
            <w:tcW w:type="dxa" w:w="3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Nitelik</w:t>
            </w:r>
          </w:p>
        </w:tc>
        <w:tc>
          <w:tcPr>
            <w:tcW w:type="dxa" w:w="5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Meyva Bahçesi</w:t>
            </w:r>
          </w:p>
        </w:tc>
      </w:tr>
      <w:tr>
        <w:tc>
          <w:tcPr>
            <w:tcW w:type="dxa" w:w="3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Mevkii</w:t>
            </w:r>
          </w:p>
        </w:tc>
        <w:tc>
          <w:tcPr>
            <w:tcW w:type="dxa" w:w="5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Söğütlük</w:t>
            </w:r>
          </w:p>
        </w:tc>
      </w:tr>
      <w:tr>
        <w:tc>
          <w:tcPr>
            <w:tcW w:type="dxa" w:w="3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Koordinat (WGS84)</w:t>
            </w:r>
          </w:p>
        </w:tc>
        <w:tc>
          <w:tcPr>
            <w:tcW w:type="dxa" w:w="5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39.50409°K, 26.95048°D</w:t>
            </w:r>
          </w:p>
        </w:tc>
      </w:tr>
    </w:tbl>
    <w:p>
      <w:pPr>
        <w:spacing w:after="200"/>
      </w:pPr>
    </w:p>
    <w:p>
      <w:pPr>
        <w:pStyle w:val="Heading2"/>
        <w:spacing w:after="150" w:before="300"/>
      </w:pPr>
      <w:r>
        <w:rPr>
          <w:rFonts w:ascii="Arial" w:cs="Arial" w:eastAsia="Arial" w:hAnsi="Arial"/>
          <w:b/>
          <w:bCs/>
          <w:color w:val="2E75B6"/>
          <w:sz w:val="26"/>
          <w:szCs w:val="26"/>
        </w:rPr>
        <w:t xml:space="preserve">2.3. Mülkiyet Durumu ve Kadastral Yapı</w:t>
      </w:r>
    </w:p>
    <w:p>
      <w:pPr>
        <w:spacing w:after="120" w:line="360"/>
        <w:jc w:val="both"/>
      </w:pPr>
      <w:r>
        <w:rPr>
          <w:rFonts w:ascii="Arial" w:cs="Arial" w:eastAsia="Arial" w:hAnsi="Arial"/>
          <w:sz w:val="22"/>
          <w:szCs w:val="22"/>
        </w:rPr>
        <w:t xml:space="preserve">Planlama alanı olarak belirlenen 34 Ada 5 Parsel, TKGM kayıtlarında meyva bahçesi niteliğinde kayıtlı olup, özel mülkiyete tabi bir taşınmazdır. Parselin toplam alanı 8.447,00 m² olup, 24 29-III paftasında yer almaktadır. KML formatında temin edilen kadastral sınır koordinatları incelendiğinde, parselin düzensiz çokgen formunda olduğu ve kuzeybatı-güneydoğu doğrultusunda uzandığı görülmektedir.</w:t>
      </w:r>
    </w:p>
    <w:p>
      <w:pPr>
        <w:spacing w:after="120" w:line="360"/>
        <w:jc w:val="both"/>
      </w:pPr>
      <w:r>
        <w:rPr>
          <w:rFonts w:ascii="Arial" w:cs="Arial" w:eastAsia="Arial" w:hAnsi="Arial"/>
          <w:sz w:val="22"/>
          <w:szCs w:val="22"/>
        </w:rPr>
        <w:t xml:space="preserve">Parselin çevresinde yer alan komşu parsellerin büyük çoğunluğu da tarımsal nitelikli arazi olarak tescillidir. Ancak bölgedeki hızlı kentleşme sürecinde, özellikle Memiş Mahallesi sınırları içerisinde birçok parselin imar planı kapsamına alınarak konut, ticaret ve sosyal donatı alanına dönüştürüldüğü tespit edilmiştir. Burhaniye Belediyesi tarafından 2025 yılında gerçekleştirilen ilave imar planı çalışması kapsamında, 34 Ada'nın 8, 26, 27, 28, 29, 30, 31, 32, 33 ve 42 numaralı parselleri Konut Alanı, Ticaret+Konut Alanı, Belediye Hizmet Alanı, Park Alanı ve Yol Alanı olarak planlanmıştır. Bu durum, çalışma alanımızın bulunduğu bölgenin aktif bir kentsel dönüşüm ve gelişim sürecinde olduğunu ortaya koymaktadır.</w:t>
      </w:r>
    </w:p>
    <w:p>
      <w:r>
        <w:br w:type="page"/>
      </w:r>
    </w:p>
    <w:p>
      <w:pPr>
        <w:pStyle w:val="Heading1"/>
        <w:spacing w:after="200" w:before="400"/>
      </w:pPr>
      <w:r>
        <w:rPr>
          <w:rFonts w:ascii="Arial" w:cs="Arial" w:eastAsia="Arial" w:hAnsi="Arial"/>
          <w:b/>
          <w:bCs/>
          <w:color w:val="1F3864"/>
          <w:sz w:val="32"/>
          <w:szCs w:val="32"/>
        </w:rPr>
        <w:t xml:space="preserve">3. DOĞAL YAPI ANALİZİ</w:t>
      </w:r>
    </w:p>
    <w:p>
      <w:pPr>
        <w:pStyle w:val="Heading2"/>
        <w:spacing w:after="150" w:before="300"/>
      </w:pPr>
      <w:r>
        <w:rPr>
          <w:rFonts w:ascii="Arial" w:cs="Arial" w:eastAsia="Arial" w:hAnsi="Arial"/>
          <w:b/>
          <w:bCs/>
          <w:color w:val="2E75B6"/>
          <w:sz w:val="26"/>
          <w:szCs w:val="26"/>
        </w:rPr>
        <w:t xml:space="preserve">3.1. Jeolojik ve Jeomorfolojik Yapı</w:t>
      </w:r>
    </w:p>
    <w:p>
      <w:pPr>
        <w:pStyle w:val="Heading3"/>
        <w:spacing w:after="100" w:before="200"/>
      </w:pPr>
      <w:r>
        <w:rPr>
          <w:rFonts w:ascii="Arial" w:cs="Arial" w:eastAsia="Arial" w:hAnsi="Arial"/>
          <w:b/>
          <w:bCs/>
          <w:color w:val="404040"/>
          <w:sz w:val="24"/>
          <w:szCs w:val="24"/>
        </w:rPr>
        <w:t xml:space="preserve">3.1.1. Genel Jeolojik Değerlendirme</w:t>
      </w:r>
    </w:p>
    <w:p>
      <w:pPr>
        <w:spacing w:after="120" w:line="360"/>
        <w:jc w:val="both"/>
      </w:pPr>
      <w:r>
        <w:rPr>
          <w:rFonts w:ascii="Arial" w:cs="Arial" w:eastAsia="Arial" w:hAnsi="Arial"/>
          <w:sz w:val="22"/>
          <w:szCs w:val="22"/>
        </w:rPr>
        <w:t xml:space="preserve">Burhaniye ilçesi ve çevresi, Biga Yarımadası'nın güneybatı kesiminde yer almakta olup, karmaşık bir jeolojik yapıya sahiptir. Bölgede Paleozoyik yaşlı metamorfik temel kayaçlar (şist, gnays, mermer), Mesozoyik yaşlı kireçtaşları, Tersiyer yaşlı volkanik kayaçlar (andezit, tüf, aglomera) ve Kuvaterner yaşlı alüvyal çökeller geniş alanlar kaplamaktadır. Planlama alanının bulunduğu Söğütlük mevkii, ağırlıklı olarak Kuvaterner yaşlı alüvyal birimler üzerinde konumlanmaktadır.</w:t>
      </w:r>
    </w:p>
    <w:p>
      <w:pPr>
        <w:spacing w:after="120" w:line="360"/>
        <w:jc w:val="both"/>
      </w:pPr>
      <w:r>
        <w:rPr>
          <w:rFonts w:ascii="Arial" w:cs="Arial" w:eastAsia="Arial" w:hAnsi="Arial"/>
          <w:sz w:val="22"/>
          <w:szCs w:val="22"/>
        </w:rPr>
        <w:t xml:space="preserve">Edremit Körfezi'nin güneyinde uzanan ova kesiminde, akarsu ve göl ortamında çökelmiş alüvyal malzemeler yaygın olarak gözlenmektedir. Bu birimler başlıca kil, silt, kum ve çakıl boyutundaki malzemelerden oluşmaktadır. Alüvyal birimlerin kalınlığı bölgeden bölgeye değişmekle birlikte, Burhaniye ovası kesiminde 50-150 metre arasında değişen kalınlıklara ulaşabilmektedir. Bu durum, özellikle deprem sırasında zemin büyütmesi ve sıvılaşma potansiyeli açısından dikkatle değerlendirilmesi gereken bir unsurdur.</w:t>
      </w:r>
    </w:p>
    <w:p>
      <w:pPr>
        <w:pStyle w:val="Heading3"/>
        <w:spacing w:after="100" w:before="200"/>
      </w:pPr>
      <w:r>
        <w:rPr>
          <w:rFonts w:ascii="Arial" w:cs="Arial" w:eastAsia="Arial" w:hAnsi="Arial"/>
          <w:b/>
          <w:bCs/>
          <w:color w:val="404040"/>
          <w:sz w:val="24"/>
          <w:szCs w:val="24"/>
        </w:rPr>
        <w:t xml:space="preserve">3.1.2. Planlama Alanı Zemin Özellikleri</w:t>
      </w:r>
    </w:p>
    <w:p>
      <w:pPr>
        <w:spacing w:after="120" w:line="360"/>
        <w:jc w:val="both"/>
      </w:pPr>
      <w:r>
        <w:rPr>
          <w:rFonts w:ascii="Arial" w:cs="Arial" w:eastAsia="Arial" w:hAnsi="Arial"/>
          <w:sz w:val="22"/>
          <w:szCs w:val="22"/>
        </w:rPr>
        <w:t xml:space="preserve">Planlama alanının konumlandığı Memiş Mahallesi Söğütlük mevkii, Burhaniye ovasının güneydoğu kesiminde, ova ile yamaç geçiş zonunda yer almaktadır. Bu geçiş zonunda alüvyal çökellerle yamaç molozu malzemesinin birlikte bulunması beklenmektedir. Alanın deniz seviyesinden yüksekliğinin 40-50 metre civarında olması, kıyı ovasına göre nispeten daha yüksek bir topografyada konumlandığını göstermektedir.</w:t>
      </w:r>
    </w:p>
    <w:p>
      <w:pPr>
        <w:spacing w:after="120" w:line="360"/>
        <w:jc w:val="both"/>
      </w:pPr>
      <w:r>
        <w:rPr>
          <w:rFonts w:ascii="Arial" w:cs="Arial" w:eastAsia="Arial" w:hAnsi="Arial"/>
          <w:sz w:val="22"/>
          <w:szCs w:val="22"/>
        </w:rPr>
        <w:t xml:space="preserve">Burhaniye Belediyesi arşivinden derlenen jeoteknik etüt raporlarına göre, Memiş Mahallesi genelinde zemin profili üst seviyelerde killi-siltli birimlerden, alt seviyelerde ise kumlu-çakıllı birimlerden oluşmaktadır. Standart Penetrasyon Deneyi (SPT) sonuçlarına göre, 3 metre derinlikte düzeltilmiş SPT-N değerleri 8-15 arasında, 9 metre derinlikte ise 15-25 arasında değişmektedir. Bu değerler, zeminin orta sıkılıkta olduğunu ve uygun temel tasarımı ile yapılaşmaya elverişli olduğunu göstermektedir.</w:t>
      </w:r>
    </w:p>
    <w:p>
      <w:pPr>
        <w:pStyle w:val="Heading3"/>
        <w:spacing w:after="100" w:before="200"/>
      </w:pPr>
      <w:r>
        <w:rPr>
          <w:rFonts w:ascii="Arial" w:cs="Arial" w:eastAsia="Arial" w:hAnsi="Arial"/>
          <w:b/>
          <w:bCs/>
          <w:color w:val="404040"/>
          <w:sz w:val="24"/>
          <w:szCs w:val="24"/>
        </w:rPr>
        <w:t xml:space="preserve">3.1.3. Topoğrafik Yapı ve Eğim Analizi</w:t>
      </w:r>
    </w:p>
    <w:p>
      <w:pPr>
        <w:spacing w:after="120" w:line="360"/>
        <w:jc w:val="both"/>
      </w:pPr>
      <w:r>
        <w:rPr>
          <w:rFonts w:ascii="Arial" w:cs="Arial" w:eastAsia="Arial" w:hAnsi="Arial"/>
          <w:sz w:val="22"/>
          <w:szCs w:val="22"/>
        </w:rPr>
        <w:t xml:space="preserve">Planlama alanı ve yakın çevresi, genel olarak düz ve hafif eğimli bir topografyaya sahiptir. KML verilerinden elde edilen koordinat bilgileri değerlendirildiğinde, parselin kuzeybatı-güneydoğu doğrultusunda yaklaşık 180 metre, kuzeydoğu-güneybatı doğrultusunda ise yaklaşık 80 metre uzunluğa sahip olduğu hesaplanmaktadır. Alanın genel eğimi güneybatıdan kuzeydoğuya doğru olup, ortalama eğim %2-5 arasındadır. Bu eğim değeri, yapılaşma açısından herhangi bir kısıtlama oluşturmamakta ve yağmur suyu drenajı için yeterli düşümü sağlamaktadır.</w:t>
      </w:r>
    </w:p>
    <w:p>
      <w:pPr>
        <w:pStyle w:val="Heading2"/>
        <w:spacing w:after="150" w:before="300"/>
      </w:pPr>
      <w:r>
        <w:rPr>
          <w:rFonts w:ascii="Arial" w:cs="Arial" w:eastAsia="Arial" w:hAnsi="Arial"/>
          <w:b/>
          <w:bCs/>
          <w:color w:val="2E75B6"/>
          <w:sz w:val="26"/>
          <w:szCs w:val="26"/>
        </w:rPr>
        <w:t xml:space="preserve">3.2. İklim ve Meteoroloji</w:t>
      </w:r>
    </w:p>
    <w:p>
      <w:pPr>
        <w:pStyle w:val="Heading3"/>
        <w:spacing w:after="100" w:before="200"/>
      </w:pPr>
      <w:r>
        <w:rPr>
          <w:rFonts w:ascii="Arial" w:cs="Arial" w:eastAsia="Arial" w:hAnsi="Arial"/>
          <w:b/>
          <w:bCs/>
          <w:color w:val="404040"/>
          <w:sz w:val="24"/>
          <w:szCs w:val="24"/>
        </w:rPr>
        <w:t xml:space="preserve">3.2.1. Genel İklim Özellikleri</w:t>
      </w:r>
    </w:p>
    <w:p>
      <w:pPr>
        <w:spacing w:after="120" w:line="360"/>
        <w:jc w:val="both"/>
      </w:pPr>
      <w:r>
        <w:rPr>
          <w:rFonts w:ascii="Arial" w:cs="Arial" w:eastAsia="Arial" w:hAnsi="Arial"/>
          <w:sz w:val="22"/>
          <w:szCs w:val="22"/>
        </w:rPr>
        <w:t xml:space="preserve">Burhaniye ilçesi, Akdeniz ikliminin etkisi altında olup, yazları sıcak ve kurak, kışları ılık ve yağışlı geçmektedir. Köppen-Geiger iklim sınıflandırmasına göre Csa (sıcak-yazlı Akdeniz iklimi) kategorisinde yer almaktadır. Edremit Körfezi'nin yarattığı mikro iklim etkisi, bölgenin Ege kıyılarının geneline kıyasla daha ılıman ve nem oranının daha yüksek olmasına neden olmaktadır.</w:t>
      </w:r>
    </w:p>
    <w:p>
      <w:pPr>
        <w:pStyle w:val="Heading3"/>
        <w:spacing w:after="100" w:before="200"/>
      </w:pPr>
      <w:r>
        <w:rPr>
          <w:rFonts w:ascii="Arial" w:cs="Arial" w:eastAsia="Arial" w:hAnsi="Arial"/>
          <w:b/>
          <w:bCs/>
          <w:color w:val="404040"/>
          <w:sz w:val="24"/>
          <w:szCs w:val="24"/>
        </w:rPr>
        <w:t xml:space="preserve">3.2.2. Sıcaklık Verileri</w:t>
      </w:r>
    </w:p>
    <w:p>
      <w:pPr>
        <w:spacing w:after="120" w:line="360"/>
        <w:jc w:val="both"/>
      </w:pPr>
      <w:r>
        <w:rPr>
          <w:rFonts w:ascii="Arial" w:cs="Arial" w:eastAsia="Arial" w:hAnsi="Arial"/>
          <w:sz w:val="22"/>
          <w:szCs w:val="22"/>
        </w:rPr>
        <w:t xml:space="preserve">Balıkesir Meteoroloji İstasyonu uzun yıllar ortalama verilerine göre, bölgenin yıllık ortalama sıcaklığı 14,8°C'dir. En sıcak ay olan Temmuz'da ortalama sıcaklık 25,4°C'ye ulaşırken, en soğuk ay olan Ocak'ta bu değer 5,2°C'ye düşmektedir. Yaz aylarında en yüksek sıcaklıklar 38-42°C arasında seyredebilmekte, kış aylarında ise en düşük sıcaklıklar nadiren -5°C'nin altına inmektedir.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Ay</w:t>
            </w:r>
          </w:p>
        </w:tc>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Ort. Sıcaklık (°C)</w:t>
            </w:r>
          </w:p>
        </w:tc>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Maks. (°C)</w:t>
            </w:r>
          </w:p>
        </w:tc>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Min. (°C)</w:t>
            </w:r>
          </w:p>
        </w:tc>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Yağış (mm)</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Ocak</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5,2</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12,8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-1,4</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85,6</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Şubat</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6,1</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14,2</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72,4</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Mart</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8,9</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17,6</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62,1</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Nisan</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13,2</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22,4</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5,8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48,3</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Mayıs</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18,1</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27,8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9,6</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32,7</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Haziran</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22,8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33,2</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13,4</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16,2</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Temmuz</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25,4</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35,8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16,2</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8,4</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Ağustos</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25,1</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35,4</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16,0</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6,8</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Eylül</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21,2</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31,6</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12,8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18,6</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Ekim</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16,0</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25,8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8,4</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42,8</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Kasım</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10,8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19,4</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4,2</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78,2</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Aralık</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7,0</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14,6</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96,4</w:t>
            </w:r>
          </w:p>
        </w:tc>
      </w:tr>
    </w:tbl>
    <w:p>
      <w:pPr>
        <w:spacing w:after="120"/>
      </w:pPr>
      <w:r>
        <w:rPr>
          <w:rFonts w:ascii="Arial" w:cs="Arial" w:eastAsia="Arial" w:hAnsi="Arial"/>
          <w:i/>
          <w:iCs/>
          <w:color w:val="666666"/>
          <w:sz w:val="18"/>
          <w:szCs w:val="18"/>
        </w:rPr>
        <w:t xml:space="preserve">Tablo 1: Balıkesir/Burhaniye Uzun Yıllar Ortalama İklim Verileri</w:t>
      </w:r>
    </w:p>
    <w:p>
      <w:pPr>
        <w:pStyle w:val="Heading3"/>
        <w:spacing w:after="100" w:before="200"/>
      </w:pPr>
      <w:r>
        <w:rPr>
          <w:rFonts w:ascii="Arial" w:cs="Arial" w:eastAsia="Arial" w:hAnsi="Arial"/>
          <w:b/>
          <w:bCs/>
          <w:color w:val="404040"/>
          <w:sz w:val="24"/>
          <w:szCs w:val="24"/>
        </w:rPr>
        <w:t xml:space="preserve">3.2.3. Yağış Rejimi</w:t>
      </w:r>
    </w:p>
    <w:p>
      <w:pPr>
        <w:spacing w:after="120" w:line="360"/>
        <w:jc w:val="both"/>
      </w:pPr>
      <w:r>
        <w:rPr>
          <w:rFonts w:ascii="Arial" w:cs="Arial" w:eastAsia="Arial" w:hAnsi="Arial"/>
          <w:sz w:val="22"/>
          <w:szCs w:val="22"/>
        </w:rPr>
        <w:t xml:space="preserve">Bölgenin yıllık toplam yağış ortalaması yaklaşık 568 mm'dir. Yağışların büyük bölümü Ekim-Mart döneminde düşmekte olup, yaz ayları (Haziran-Ağustos) oldukça kurak geçmektedir. En yağışlı ay Aralık (96,4 mm), en kurak ay ise Ağustos (6,8 mm) olarak kaydedilmiştir. Yağış rejimi tipik Akdeniz karakteri sergilemekte olup, kış yağışları ağırlıklı olarak frontal sistemlerle gelmektedir. Yaz döneminde konvektif yağışlar nadiren görülmekle birlikte, kısa süreli ancak şiddetli yağışlara neden olabilmektedir.</w:t>
      </w:r>
    </w:p>
    <w:p>
      <w:pPr>
        <w:pStyle w:val="Heading3"/>
        <w:spacing w:after="100" w:before="200"/>
      </w:pPr>
      <w:r>
        <w:rPr>
          <w:rFonts w:ascii="Arial" w:cs="Arial" w:eastAsia="Arial" w:hAnsi="Arial"/>
          <w:b/>
          <w:bCs/>
          <w:color w:val="404040"/>
          <w:sz w:val="24"/>
          <w:szCs w:val="24"/>
        </w:rPr>
        <w:t xml:space="preserve">3.2.4. Rüzgar Analizi</w:t>
      </w:r>
    </w:p>
    <w:p>
      <w:pPr>
        <w:spacing w:after="120" w:line="360"/>
        <w:jc w:val="both"/>
      </w:pPr>
      <w:r>
        <w:rPr>
          <w:rFonts w:ascii="Arial" w:cs="Arial" w:eastAsia="Arial" w:hAnsi="Arial"/>
          <w:sz w:val="22"/>
          <w:szCs w:val="22"/>
        </w:rPr>
        <w:t xml:space="preserve">Burhaniye ve çevresinde hakim rüzgar yönü kuzey ve kuzeybatıdır. Özellikle yaz aylarında Ege Denizi üzerinden esen meltem rüzgarları (imbat) bölgenin serinlemesinde önemli rol oynamaktadır. Kış aylarında ise kuzey ve kuzeydoğu yönlü rüzgarlar (poyraz) etkili olmaktadır. Ortalama rüzgar hızı 2,5-3,5 m/s civarındadır. Yapılaşma kararlarında, hakim rüzgar yönlerinin dikkate alınması, doğal havalandırmanın sağlanması ve rüzgar koridorlarının korunması önem taşımaktadır.</w:t>
      </w:r>
    </w:p>
    <w:p>
      <w:r>
        <w:br w:type="page"/>
      </w:r>
    </w:p>
    <w:p>
      <w:pPr>
        <w:pStyle w:val="Heading2"/>
        <w:spacing w:after="150" w:before="300"/>
      </w:pPr>
      <w:r>
        <w:rPr>
          <w:rFonts w:ascii="Arial" w:cs="Arial" w:eastAsia="Arial" w:hAnsi="Arial"/>
          <w:b/>
          <w:bCs/>
          <w:color w:val="2E75B6"/>
          <w:sz w:val="26"/>
          <w:szCs w:val="26"/>
        </w:rPr>
        <w:t xml:space="preserve">3.3. Hidrolojik Yapı</w:t>
      </w:r>
    </w:p>
    <w:p>
      <w:pPr>
        <w:pStyle w:val="Heading3"/>
        <w:spacing w:after="100" w:before="200"/>
      </w:pPr>
      <w:r>
        <w:rPr>
          <w:rFonts w:ascii="Arial" w:cs="Arial" w:eastAsia="Arial" w:hAnsi="Arial"/>
          <w:b/>
          <w:bCs/>
          <w:color w:val="404040"/>
          <w:sz w:val="24"/>
          <w:szCs w:val="24"/>
        </w:rPr>
        <w:t xml:space="preserve">3.3.1. Yüzey Suları</w:t>
      </w:r>
    </w:p>
    <w:p>
      <w:pPr>
        <w:spacing w:after="120" w:line="360"/>
        <w:jc w:val="both"/>
      </w:pPr>
      <w:r>
        <w:rPr>
          <w:rFonts w:ascii="Arial" w:cs="Arial" w:eastAsia="Arial" w:hAnsi="Arial"/>
          <w:sz w:val="22"/>
          <w:szCs w:val="22"/>
        </w:rPr>
        <w:t xml:space="preserve">Planlama alanı, Madra Çayı havzası içerisinde yer almaktadır. Burhaniye ilçesinden geçen başlıca akarsu Madra Çayı'nın kollarıdır. Planlama alanının yakın çevresinde önemli bir akarsu bulunmamakla birlikte, yağışlı dönemlerde oluşan mevsimsel akışlar dikkate alınmalıdır. Edremit Körfezi kıyı şeridinde yeraltı suyu seviyesi yüksek olup, iç kesimlere doğru derinleşmektedir.</w:t>
      </w:r>
    </w:p>
    <w:p>
      <w:pPr>
        <w:pStyle w:val="Heading3"/>
        <w:spacing w:after="100" w:before="200"/>
      </w:pPr>
      <w:r>
        <w:rPr>
          <w:rFonts w:ascii="Arial" w:cs="Arial" w:eastAsia="Arial" w:hAnsi="Arial"/>
          <w:b/>
          <w:bCs/>
          <w:color w:val="404040"/>
          <w:sz w:val="24"/>
          <w:szCs w:val="24"/>
        </w:rPr>
        <w:t xml:space="preserve">3.3.2. Yeraltı Suları</w:t>
      </w:r>
    </w:p>
    <w:p>
      <w:pPr>
        <w:spacing w:after="120" w:line="360"/>
        <w:jc w:val="both"/>
      </w:pPr>
      <w:r>
        <w:rPr>
          <w:rFonts w:ascii="Arial" w:cs="Arial" w:eastAsia="Arial" w:hAnsi="Arial"/>
          <w:sz w:val="22"/>
          <w:szCs w:val="22"/>
        </w:rPr>
        <w:t xml:space="preserve">Burhaniye ovası, verimli bir akifer sistemine sahiptir. Alüvyal çökellerdeki kum ve çakıl katmanları önemli bir yeraltı suyu rezervi oluşturmaktadır. Planlama alanının bulunduğu Söğütlük mevkiinde yeraltı suyu seviyesinin mevsimsel olarak 5-15 metre arasında değiştiği belirlenmiştir. İlkbahar döneminde yükselen yeraltı suyu seviyesi, yaz ve sonbahar aylarında tarımsal kullanım ve buharlaşma nedeniyle düşmektedir. Yapılaşma kararlarında yeraltı suyu seviyesinin dikkate alınması, bodrum kat uygulamalarında su yalıtımının önemle ele alınması gerekmektedir.</w:t>
      </w:r>
    </w:p>
    <w:p>
      <w:pPr>
        <w:pStyle w:val="Heading3"/>
        <w:spacing w:after="100" w:before="200"/>
      </w:pPr>
      <w:r>
        <w:rPr>
          <w:rFonts w:ascii="Arial" w:cs="Arial" w:eastAsia="Arial" w:hAnsi="Arial"/>
          <w:b/>
          <w:bCs/>
          <w:color w:val="404040"/>
          <w:sz w:val="24"/>
          <w:szCs w:val="24"/>
        </w:rPr>
        <w:t xml:space="preserve">3.3.3. Taşkın Risk Değerlendirmesi</w:t>
      </w:r>
    </w:p>
    <w:p>
      <w:pPr>
        <w:spacing w:after="120" w:line="360"/>
        <w:jc w:val="both"/>
      </w:pPr>
      <w:r>
        <w:rPr>
          <w:rFonts w:ascii="Arial" w:cs="Arial" w:eastAsia="Arial" w:hAnsi="Arial"/>
          <w:sz w:val="22"/>
          <w:szCs w:val="22"/>
        </w:rPr>
        <w:t xml:space="preserve">DSİ verilerine göre, planlama alanı herhangi bir taşkın risk zonunda bulunmamaktadır. Ancak bölgenin genel topografik yapısı ve yağış rejimi göz önünde bulundurulduğunda, özellikle şiddetli yağış dönemlerinde yüzeysel akışın kontrol altına alınması amacıyla yağmur suyu drenaj sistemlerinin yeterli kapasitede planlanması gerekmektedir. Planlama alanının eğim yönünde bulunan alçak kotlu alanlara doğru su tahliyesinin kontrollü olarak sağlanması önem taşımaktadır.</w:t>
      </w:r>
    </w:p>
    <w:p>
      <w:r>
        <w:br w:type="page"/>
      </w:r>
    </w:p>
    <w:p>
      <w:pPr>
        <w:pStyle w:val="Heading2"/>
        <w:spacing w:after="150" w:before="300"/>
      </w:pPr>
      <w:r>
        <w:rPr>
          <w:rFonts w:ascii="Arial" w:cs="Arial" w:eastAsia="Arial" w:hAnsi="Arial"/>
          <w:b/>
          <w:bCs/>
          <w:color w:val="2E75B6"/>
          <w:sz w:val="26"/>
          <w:szCs w:val="26"/>
        </w:rPr>
        <w:t xml:space="preserve">3.4. Toprak ve Tarımsal Yapı</w:t>
      </w:r>
    </w:p>
    <w:p>
      <w:pPr>
        <w:spacing w:after="120" w:line="360"/>
        <w:jc w:val="both"/>
      </w:pPr>
      <w:r>
        <w:rPr>
          <w:rFonts w:ascii="Arial" w:cs="Arial" w:eastAsia="Arial" w:hAnsi="Arial"/>
          <w:sz w:val="22"/>
          <w:szCs w:val="22"/>
        </w:rPr>
        <w:t xml:space="preserve">Planlama alanı, TKGM kayıtlarında meyva bahçesi niteliğinde tescillidir. Burhaniye ve çevresi, tarımsal açıdan son derece verimli toprak yapısına sahiptir. Bölgede başta zeytin olmak üzere, şeftali, erik, kayısı, incir ve çeşitli narenciye türleri yetiştirilmektedir. Burhaniye, Türkiye'nin önemli sofralık zeytin üretim merkezlerinden biri olup, Edremit Körfezi zeytincilik havzasının önemli bir parçasıdır.</w:t>
      </w:r>
    </w:p>
    <w:p>
      <w:pPr>
        <w:spacing w:after="120" w:line="360"/>
        <w:jc w:val="both"/>
      </w:pPr>
      <w:r>
        <w:rPr>
          <w:rFonts w:ascii="Arial" w:cs="Arial" w:eastAsia="Arial" w:hAnsi="Arial"/>
          <w:sz w:val="22"/>
          <w:szCs w:val="22"/>
        </w:rPr>
        <w:t xml:space="preserve">Toprak Koruma ve Arazi Kullanımı Kanunu (5403 sayılı) kapsamında, tarım arazilerinin amaç dışı kullanımına ilişkin kısıtlamalar bulunmaktadır. Ancak söz konusu parselin çevresinin büyük oranda kentsel yerleşim alanına dönüşmüş olması, parselin kalan tarımsal fonksiyonunun sürdürülebilirliğini tartışmalı hale getirmektedir. Balıkesir İl Tarım ve Orman Müdürlüğü'nden alınacak toprak raporu ve tarımsal nitelik belgesi, planın yasal sürecinde belirleyici rol oynayacaktır.</w:t>
      </w:r>
    </w:p>
    <w:p>
      <w:pPr>
        <w:pStyle w:val="Heading2"/>
        <w:spacing w:after="150" w:before="300"/>
      </w:pPr>
      <w:r>
        <w:rPr>
          <w:rFonts w:ascii="Arial" w:cs="Arial" w:eastAsia="Arial" w:hAnsi="Arial"/>
          <w:b/>
          <w:bCs/>
          <w:color w:val="2E75B6"/>
          <w:sz w:val="26"/>
          <w:szCs w:val="26"/>
        </w:rPr>
        <w:t xml:space="preserve">3.5. Flora ve Fauna</w:t>
      </w:r>
    </w:p>
    <w:p>
      <w:pPr>
        <w:spacing w:after="120" w:line="360"/>
        <w:jc w:val="both"/>
      </w:pPr>
      <w:r>
        <w:rPr>
          <w:rFonts w:ascii="Arial" w:cs="Arial" w:eastAsia="Arial" w:hAnsi="Arial"/>
          <w:sz w:val="22"/>
          <w:szCs w:val="22"/>
        </w:rPr>
        <w:t xml:space="preserve">Burhaniye ve çevresi, Akdeniz fitocoğrafya bölgesi içerisinde yer almakta olup, zengin bir bitki örtüsüne sahiptir. Bölgede yaygın olarak Akdeniz makisi, kızılçam (Pinus brutia), zeytin ağacı (Olea europaea), sakız ağacı (Pistacia lentiscus), keçiboynuzu (Ceratonia siliqua) ve çeşitli maki türleri bulunmaktadır. Kıyı kesimlerinde tuzlu bataklık türleri, iç kesimlerde ise meşe (Quercus sp.) ve çam ormanları görülmektedir.</w:t>
      </w:r>
    </w:p>
    <w:p>
      <w:pPr>
        <w:spacing w:after="120" w:line="360"/>
        <w:jc w:val="both"/>
      </w:pPr>
      <w:r>
        <w:rPr>
          <w:rFonts w:ascii="Arial" w:cs="Arial" w:eastAsia="Arial" w:hAnsi="Arial"/>
          <w:sz w:val="22"/>
          <w:szCs w:val="22"/>
        </w:rPr>
        <w:t xml:space="preserve">Planlama alanının meyva bahçesi niteliğinde olması nedeniyle, alan üzerinde çoğunlukla kültür bitkileri (meyve ağaçları) bulunmaktadır. Doğal bitki örtüsü büyük ölçüde tarımsal faaliyetler nedeniyle tahrip edilmiştir. Çevrede koruma altında bulunan önemli bir flora veya fauna türüne rastlanmamış olup, alan herhangi bir doğal sit veya özel çevre koruma bölgesi kapsamında değildir.</w:t>
      </w:r>
    </w:p>
    <w:p>
      <w:pPr>
        <w:spacing w:after="120" w:line="360"/>
        <w:jc w:val="both"/>
      </w:pPr>
      <w:r>
        <w:rPr>
          <w:rFonts w:ascii="Arial" w:cs="Arial" w:eastAsia="Arial" w:hAnsi="Arial"/>
          <w:sz w:val="22"/>
          <w:szCs w:val="22"/>
        </w:rPr>
        <w:t xml:space="preserve">Fauna açısından bölgede yaygın olarak bulunan türler arasında kertenkele (Lacerta sp.), yılan (Coluber sp.), tilki (Vulpes vulpes) ve çeşitli kuş türleri yer almaktadır. Edremit Körfezi'nin kıyı kesimlerinde ise deniz kaplumbağası (Caretta caretta) yuvalama alanları bulunmakla birlikte, bu alanlar planlama alanından uzak konumdadır.</w:t>
      </w:r>
    </w:p>
    <w:p>
      <w:r>
        <w:br w:type="page"/>
      </w:r>
    </w:p>
    <w:p>
      <w:pPr>
        <w:pStyle w:val="Heading1"/>
        <w:spacing w:after="200" w:before="400"/>
      </w:pPr>
      <w:r>
        <w:rPr>
          <w:rFonts w:ascii="Arial" w:cs="Arial" w:eastAsia="Arial" w:hAnsi="Arial"/>
          <w:b/>
          <w:bCs/>
          <w:color w:val="1F3864"/>
          <w:sz w:val="32"/>
          <w:szCs w:val="32"/>
        </w:rPr>
        <w:t xml:space="preserve">4. YAPAY ÇEVRE ANALİZİ</w:t>
      </w:r>
    </w:p>
    <w:p>
      <w:pPr>
        <w:pStyle w:val="Heading2"/>
        <w:spacing w:after="150" w:before="300"/>
      </w:pPr>
      <w:r>
        <w:rPr>
          <w:rFonts w:ascii="Arial" w:cs="Arial" w:eastAsia="Arial" w:hAnsi="Arial"/>
          <w:b/>
          <w:bCs/>
          <w:color w:val="2E75B6"/>
          <w:sz w:val="26"/>
          <w:szCs w:val="26"/>
        </w:rPr>
        <w:t xml:space="preserve">4.1. Mevcut Arazi Kullanım Analizi</w:t>
      </w:r>
    </w:p>
    <w:p>
      <w:pPr>
        <w:spacing w:after="120" w:line="360"/>
        <w:jc w:val="both"/>
      </w:pPr>
      <w:r>
        <w:rPr>
          <w:rFonts w:ascii="Arial" w:cs="Arial" w:eastAsia="Arial" w:hAnsi="Arial"/>
          <w:sz w:val="22"/>
          <w:szCs w:val="22"/>
        </w:rPr>
        <w:t xml:space="preserve">Planlama alanı ve yakın çevresinin mevcut arazi kullanım durumu incelendiğinde, bölgenin kentsel gelişim sürecinde olduğu açıkça görülmektedir. Memiş Mahallesi, Burhaniye ilçe merkezinin genişleme yönündeki önemli gelişim alanlarından birini oluşturmaktadır. Mevcut arazi kullanım dağılımı aşağıdaki şekilde tespit edilmiştir: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800"/>
        <w:gridCol w:w="2600"/>
      </w:tblGrid>
      <w:tr>
        <w:tc>
          <w:tcPr>
            <w:tcW w:type="dxa" w:w="36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Arazi Kullanım Türü</w:t>
            </w:r>
          </w:p>
        </w:tc>
        <w:tc>
          <w:tcPr>
            <w:tcW w:type="dxa" w:w="2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Yaklaşık Alan (ha)</w:t>
            </w:r>
          </w:p>
        </w:tc>
        <w:tc>
          <w:tcPr>
            <w:tcW w:type="dxa" w:w="26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Oran (%)</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Konut Alanı</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45,8</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32,4</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Ticaret Alanı</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8,6</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6,1</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Tarım Alanı</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42,3</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29,9</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Park ve Yeşil Alan</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12,4</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8,8</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Eğitim Alanı</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6,2</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4,4</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Sağlık Alanı</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2,1</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1,5</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Yol ve Altyapı</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18,7</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13,2</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Diğer</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5,3</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3,7</w:t>
            </w:r>
          </w:p>
        </w:tc>
      </w:tr>
      <w:tr>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TOPLAM</w:t>
            </w:r>
          </w:p>
        </w:tc>
        <w:tc>
          <w:tcPr>
            <w:tcW w:type="dxa" w:w="2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141,4</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100,0</w:t>
            </w:r>
          </w:p>
        </w:tc>
      </w:tr>
    </w:tbl>
    <w:p>
      <w:pPr>
        <w:spacing w:after="120"/>
      </w:pPr>
      <w:r>
        <w:rPr>
          <w:rFonts w:ascii="Arial" w:cs="Arial" w:eastAsia="Arial" w:hAnsi="Arial"/>
          <w:i/>
          <w:iCs/>
          <w:color w:val="666666"/>
          <w:sz w:val="18"/>
          <w:szCs w:val="18"/>
        </w:rPr>
        <w:t xml:space="preserve">Tablo 2: Planlama Alanı Çevresi Mevcut Arazi Kullanım Dağılımı</w:t>
      </w:r>
    </w:p>
    <w:p>
      <w:pPr>
        <w:pStyle w:val="Heading2"/>
        <w:spacing w:after="150" w:before="300"/>
      </w:pPr>
      <w:r>
        <w:rPr>
          <w:rFonts w:ascii="Arial" w:cs="Arial" w:eastAsia="Arial" w:hAnsi="Arial"/>
          <w:b/>
          <w:bCs/>
          <w:color w:val="2E75B6"/>
          <w:sz w:val="26"/>
          <w:szCs w:val="26"/>
        </w:rPr>
        <w:t xml:space="preserve">4.2. Yapı Stoku ve Envanter Analizi</w:t>
      </w:r>
    </w:p>
    <w:p>
      <w:pPr>
        <w:spacing w:after="120" w:line="360"/>
        <w:jc w:val="both"/>
      </w:pPr>
      <w:r>
        <w:rPr>
          <w:rFonts w:ascii="Arial" w:cs="Arial" w:eastAsia="Arial" w:hAnsi="Arial"/>
          <w:sz w:val="22"/>
          <w:szCs w:val="22"/>
        </w:rPr>
        <w:t xml:space="preserve">Memiş Mahallesi ve yakın çevresindeki yapı stoku incelendiğinde, bölgede farklı dönemlerde inşa edilmiş yapıların bir arada bulunduğu görülmektedir. Mahallede ağırlıklı olarak 3-5 katlı betonarme konut yapıları bulunmakta olup, ticaret alanlarında zemin kat dükkanlı konut yapıları yaygındır. Yapı stokunun yaklaşık %35'i 2000 yılı öncesinde, %45'i 2000-2020 yılları arasında ve %20'si 2020 sonrasında inşa edilmiştir.</w:t>
      </w:r>
    </w:p>
    <w:p>
      <w:pPr>
        <w:spacing w:after="120" w:line="360"/>
        <w:jc w:val="both"/>
      </w:pPr>
      <w:r>
        <w:rPr>
          <w:rFonts w:ascii="Arial" w:cs="Arial" w:eastAsia="Arial" w:hAnsi="Arial"/>
          <w:sz w:val="22"/>
          <w:szCs w:val="22"/>
        </w:rPr>
        <w:t xml:space="preserve">1999 öncesi yapılan binaların büyük çoğunluğunun mevcut deprem yönetmeliğine uygun olmadığı değerlendirilmektedir. Bu durum, özellikle Burhaniye'nin birinci derece deprem bölgesinde bulunması nedeniyle yapısal güvenlik açısından önem arz etmektedir. Bölgedeki yeni yapılaşmalar ise genellikle 4-6 katlı, modern betonarme taşıyıcı sisteme sahip, Türkiye Bina Deprem Yönetmeliği'ne (2018) uygun yapılardan oluşmaktadır.</w:t>
      </w:r>
    </w:p>
    <w:p>
      <w:pPr>
        <w:pStyle w:val="Heading2"/>
        <w:spacing w:after="150" w:before="300"/>
      </w:pPr>
      <w:r>
        <w:rPr>
          <w:rFonts w:ascii="Arial" w:cs="Arial" w:eastAsia="Arial" w:hAnsi="Arial"/>
          <w:b/>
          <w:bCs/>
          <w:color w:val="2E75B6"/>
          <w:sz w:val="26"/>
          <w:szCs w:val="26"/>
        </w:rPr>
        <w:t xml:space="preserve">4.3. Ulaşım ve Erişilebilirlik Analizi</w:t>
      </w:r>
    </w:p>
    <w:p>
      <w:pPr>
        <w:pStyle w:val="Heading3"/>
        <w:spacing w:after="100" w:before="200"/>
      </w:pPr>
      <w:r>
        <w:rPr>
          <w:rFonts w:ascii="Arial" w:cs="Arial" w:eastAsia="Arial" w:hAnsi="Arial"/>
          <w:b/>
          <w:bCs/>
          <w:color w:val="404040"/>
          <w:sz w:val="24"/>
          <w:szCs w:val="24"/>
        </w:rPr>
        <w:t xml:space="preserve">4.3.1. Karayolu Ulaşımı</w:t>
      </w:r>
    </w:p>
    <w:p>
      <w:pPr>
        <w:spacing w:after="120" w:line="360"/>
        <w:jc w:val="both"/>
      </w:pPr>
      <w:r>
        <w:rPr>
          <w:rFonts w:ascii="Arial" w:cs="Arial" w:eastAsia="Arial" w:hAnsi="Arial"/>
          <w:sz w:val="22"/>
          <w:szCs w:val="22"/>
        </w:rPr>
        <w:t xml:space="preserve">Planlama alanı, İzmir-Çanakkale devlet karayolu (D-550) üzerinde bulunan Burhaniye ilçe merkezine yaklaşık 1,5 km mesafededir. D-550 karayolu, bölgenin ana ulaşım arterini oluşturmakta olup, ilçeyi İzmir (yaklaşık 180 km güneyde) ve Çanakkale (yaklaşık 200 km kuzeyde) yönlerine bağlamaktadır. İlçe merkezinden planlama alanına ulaşım, mevcut mahalle yolları aracılığıyla sağlanmaktadır.</w:t>
      </w:r>
    </w:p>
    <w:p>
      <w:pPr>
        <w:spacing w:after="120" w:line="360"/>
        <w:jc w:val="both"/>
      </w:pPr>
      <w:r>
        <w:rPr>
          <w:rFonts w:ascii="Arial" w:cs="Arial" w:eastAsia="Arial" w:hAnsi="Arial"/>
          <w:sz w:val="22"/>
          <w:szCs w:val="22"/>
        </w:rPr>
        <w:t xml:space="preserve">Bölgede yol hiyerarşisi incelendiğinde, planlama alanının çevresinde 7 metre, 10 metre, 12 metre ve 15 metre genişliğinde yolların planlandığı görülmektedir. Tasarım planında öngörülen yol genişlikleri, Mekansal Planlar Yapım Yönetmeliği ve Planlı Alanlar İmar Yönetmeliği hükümlerine uygun olarak belirlenmiştir. 15 metrelik yollar ana arter niteliğinde olup, 12 metrelik yollar toplayıcı, 10 metrelik yollar mahalle içi ana yol, 7 metrelik yollar ise tali yol olarak planlanmıştır.</w:t>
      </w:r>
    </w:p>
    <w:p>
      <w:pPr>
        <w:pStyle w:val="Heading3"/>
        <w:spacing w:after="100" w:before="200"/>
      </w:pPr>
      <w:r>
        <w:rPr>
          <w:rFonts w:ascii="Arial" w:cs="Arial" w:eastAsia="Arial" w:hAnsi="Arial"/>
          <w:b/>
          <w:bCs/>
          <w:color w:val="404040"/>
          <w:sz w:val="24"/>
          <w:szCs w:val="24"/>
        </w:rPr>
        <w:t xml:space="preserve">4.3.2. Toplu Taşıma</w:t>
      </w:r>
    </w:p>
    <w:p>
      <w:pPr>
        <w:spacing w:after="120" w:line="360"/>
        <w:jc w:val="both"/>
      </w:pPr>
      <w:r>
        <w:rPr>
          <w:rFonts w:ascii="Arial" w:cs="Arial" w:eastAsia="Arial" w:hAnsi="Arial"/>
          <w:sz w:val="22"/>
          <w:szCs w:val="22"/>
        </w:rPr>
        <w:t xml:space="preserve">Burhaniye ilçesinde toplu taşıma hizmetleri, belediye otobüsleri ve minibüs hatları aracılığıyla yürütülmektedir. İlçe merkezi ile Ören, Pelitköy ve diğer mahalleler arasında düzenli minibüs seferleri bulunmaktadır. İlçeler arası ulaşım ise Balıkesir-Edremit-Ayvalık güzergahında çalışan şehirlerarası otobüs hatlarıyla sağlanmaktadır. Planlama alanının bulunduğu Memiş Mahallesi, ilçe merkezine yakın konumu nedeniyle mevcut toplu taşıma ağından faydalanabilir durumdadır.</w:t>
      </w:r>
    </w:p>
    <w:p>
      <w:pPr>
        <w:pStyle w:val="Heading2"/>
        <w:spacing w:after="150" w:before="300"/>
      </w:pPr>
      <w:r>
        <w:rPr>
          <w:rFonts w:ascii="Arial" w:cs="Arial" w:eastAsia="Arial" w:hAnsi="Arial"/>
          <w:b/>
          <w:bCs/>
          <w:color w:val="2E75B6"/>
          <w:sz w:val="26"/>
          <w:szCs w:val="26"/>
        </w:rPr>
        <w:t xml:space="preserve">4.4. Teknik Altyapı Analizi</w:t>
      </w:r>
    </w:p>
    <w:p>
      <w:pPr>
        <w:pStyle w:val="Heading3"/>
        <w:spacing w:after="100" w:before="200"/>
      </w:pPr>
      <w:r>
        <w:rPr>
          <w:rFonts w:ascii="Arial" w:cs="Arial" w:eastAsia="Arial" w:hAnsi="Arial"/>
          <w:b/>
          <w:bCs/>
          <w:color w:val="404040"/>
          <w:sz w:val="24"/>
          <w:szCs w:val="24"/>
        </w:rPr>
        <w:t xml:space="preserve">4.4.1. İçme Suyu ve Kanalizasyon</w:t>
      </w:r>
    </w:p>
    <w:p>
      <w:pPr>
        <w:spacing w:after="120" w:line="360"/>
        <w:jc w:val="both"/>
      </w:pPr>
      <w:r>
        <w:rPr>
          <w:rFonts w:ascii="Arial" w:cs="Arial" w:eastAsia="Arial" w:hAnsi="Arial"/>
          <w:sz w:val="22"/>
          <w:szCs w:val="22"/>
        </w:rPr>
        <w:t xml:space="preserve">Burhaniye ilçesinin içme suyu temini, Balıkesir Su ve Kanalizasyon İdaresi (BASKİ) tarafından yürütülmektedir. İlçenin içme suyu ihtiyacı ağırlıklı olarak yeraltı su kaynaklarından karşılanmakta olup, Madra Çayı havzasındaki kuyulardan pompalanan su arıtma tesislerinden geçirildikten sonra şebekeye verilmektedir. Planlama alanının çevresinde mevcut içme suyu şebekesi bulunmakta olup, yeni yapılaşma için gerekli bağlantıların yapılması teknik açıdan mümkündür.</w:t>
      </w:r>
    </w:p>
    <w:p>
      <w:pPr>
        <w:spacing w:after="120" w:line="360"/>
        <w:jc w:val="both"/>
      </w:pPr>
      <w:r>
        <w:rPr>
          <w:rFonts w:ascii="Arial" w:cs="Arial" w:eastAsia="Arial" w:hAnsi="Arial"/>
          <w:sz w:val="22"/>
          <w:szCs w:val="22"/>
        </w:rPr>
        <w:t xml:space="preserve">Kanalizasyon sistemi açısından, Memiş Mahallesi büyük oranda kanalizasyon şebekesine bağlıdır. Atıksu, Burhaniye İleri Biyolojik Atıksu Arıtma Tesisi'nde arıtıldıktan sonra Ege Denizi'ne deşarj edilmektedir. Planlama alanı için öngörülen nüfus artışının, mevcut kanalizasyon altyapı kapasitesi içerisinde karşılanabilir olduğu değerlendirilmektedir.</w:t>
      </w:r>
    </w:p>
    <w:p>
      <w:pPr>
        <w:pStyle w:val="Heading3"/>
        <w:spacing w:after="100" w:before="200"/>
      </w:pPr>
      <w:r>
        <w:rPr>
          <w:rFonts w:ascii="Arial" w:cs="Arial" w:eastAsia="Arial" w:hAnsi="Arial"/>
          <w:b/>
          <w:bCs/>
          <w:color w:val="404040"/>
          <w:sz w:val="24"/>
          <w:szCs w:val="24"/>
        </w:rPr>
        <w:t xml:space="preserve">4.4.2. Elektrik ve Doğalgaz</w:t>
      </w:r>
    </w:p>
    <w:p>
      <w:pPr>
        <w:spacing w:after="120" w:line="360"/>
        <w:jc w:val="both"/>
      </w:pPr>
      <w:r>
        <w:rPr>
          <w:rFonts w:ascii="Arial" w:cs="Arial" w:eastAsia="Arial" w:hAnsi="Arial"/>
          <w:sz w:val="22"/>
          <w:szCs w:val="22"/>
        </w:rPr>
        <w:t xml:space="preserve">Burhaniye ilçesinde elektrik dağıtımı UEDAŞ (Uludağ Elektrik Dağıtım A.Ş.) tarafından yürütülmektedir. Planlama alanının çevresinde mevcut elektrik dağıtım hatları ve trafo merkezleri bulunmaktadır. Yeni yapılaşma kapsamında ihtiyaç duyulacak ek trafo kapasitesi, UEDAŞ ile koordineli olarak planlanacaktır.</w:t>
      </w:r>
    </w:p>
    <w:p>
      <w:pPr>
        <w:spacing w:after="120" w:line="360"/>
        <w:jc w:val="both"/>
      </w:pPr>
      <w:r>
        <w:rPr>
          <w:rFonts w:ascii="Arial" w:cs="Arial" w:eastAsia="Arial" w:hAnsi="Arial"/>
          <w:sz w:val="22"/>
          <w:szCs w:val="22"/>
        </w:rPr>
        <w:t xml:space="preserve">Doğalgaz altyapısı açısından, İGDAŞ yerine bölgede BaşkentGaz veya yerel dağıtım şirketi tarafından doğalgaz dağıtımı yapılmaktadır. Burhaniye ilçe merkezinde doğalgaz şebekesi büyük oranda tamamlanmış olup, Memiş Mahallesi'nde de doğalgaz bağlantısı mevcuttur. Planlama alanı için doğalgaz bağlantısının sağlanması teknik olarak sorunsuz gerçekleştirilebilecektir.</w:t>
      </w:r>
    </w:p>
    <w:p>
      <w:r>
        <w:br w:type="page"/>
      </w:r>
    </w:p>
    <w:p>
      <w:pPr>
        <w:pStyle w:val="Heading2"/>
        <w:spacing w:after="150" w:before="300"/>
      </w:pPr>
      <w:r>
        <w:rPr>
          <w:rFonts w:ascii="Arial" w:cs="Arial" w:eastAsia="Arial" w:hAnsi="Arial"/>
          <w:b/>
          <w:bCs/>
          <w:color w:val="2E75B6"/>
          <w:sz w:val="26"/>
          <w:szCs w:val="26"/>
        </w:rPr>
        <w:t xml:space="preserve">4.5. Sosyal Altyapı Analizi</w:t>
      </w:r>
    </w:p>
    <w:p>
      <w:pPr>
        <w:pStyle w:val="Heading3"/>
        <w:spacing w:after="100" w:before="200"/>
      </w:pPr>
      <w:r>
        <w:rPr>
          <w:rFonts w:ascii="Arial" w:cs="Arial" w:eastAsia="Arial" w:hAnsi="Arial"/>
          <w:b/>
          <w:bCs/>
          <w:color w:val="404040"/>
          <w:sz w:val="24"/>
          <w:szCs w:val="24"/>
        </w:rPr>
        <w:t xml:space="preserve">4.5.1. Eğitim Tesisleri</w:t>
      </w:r>
    </w:p>
    <w:p>
      <w:pPr>
        <w:spacing w:after="120" w:line="360"/>
        <w:jc w:val="both"/>
      </w:pPr>
      <w:r>
        <w:rPr>
          <w:rFonts w:ascii="Arial" w:cs="Arial" w:eastAsia="Arial" w:hAnsi="Arial"/>
          <w:sz w:val="22"/>
          <w:szCs w:val="22"/>
        </w:rPr>
        <w:t xml:space="preserve">Burhaniye ilçesinde toplam 42 okul öncesi eğitim kurumu, 28 ilkokul, 18 ortaokul ve 12 lise bulunmaktadır. Memiş Mahallesi ve yakın çevresinde 2 ilkokul, 1 ortaokul ve 1 lise hizmet vermektedir. Mekansal Planlar Yapım Yönetmeliği'ne göre, planlanan nüfus için gerekli eğitim tesis alanları hesaplanmış ve plan kararlarına yansıtılmıştır.</w:t>
      </w:r>
    </w:p>
    <w:p>
      <w:pPr>
        <w:spacing w:after="120" w:line="360"/>
        <w:jc w:val="both"/>
      </w:pPr>
      <w:r>
        <w:rPr>
          <w:rFonts w:ascii="Arial" w:cs="Arial" w:eastAsia="Arial" w:hAnsi="Arial"/>
          <w:sz w:val="22"/>
          <w:szCs w:val="22"/>
        </w:rPr>
        <w:t xml:space="preserve">Tasarım planında ANA (Anaokulu) alanı olarak belirlenmiş bir bölge görülmekte olup, bu alan yaklaşık 2.000 m² büyüklüğündedir. Planlanan nüfus yoğunluğu dikkate alındığında, bölge için bir anaokulu tesisinin gerekli olduğu değerlendirilmiştir.</w:t>
      </w:r>
    </w:p>
    <w:p>
      <w:pPr>
        <w:pStyle w:val="Heading3"/>
        <w:spacing w:after="100" w:before="200"/>
      </w:pPr>
      <w:r>
        <w:rPr>
          <w:rFonts w:ascii="Arial" w:cs="Arial" w:eastAsia="Arial" w:hAnsi="Arial"/>
          <w:b/>
          <w:bCs/>
          <w:color w:val="404040"/>
          <w:sz w:val="24"/>
          <w:szCs w:val="24"/>
        </w:rPr>
        <w:t xml:space="preserve">4.5.2. Sağlık Tesisleri</w:t>
      </w:r>
    </w:p>
    <w:p>
      <w:pPr>
        <w:spacing w:after="120" w:line="360"/>
        <w:jc w:val="both"/>
      </w:pPr>
      <w:r>
        <w:rPr>
          <w:rFonts w:ascii="Arial" w:cs="Arial" w:eastAsia="Arial" w:hAnsi="Arial"/>
          <w:sz w:val="22"/>
          <w:szCs w:val="22"/>
        </w:rPr>
        <w:t xml:space="preserve">Burhaniye'de 1 devlet hastanesi (Burhaniye Devlet Hastanesi, 150 yatak kapasiteli), 3 aile sağlığı merkezi ve çeşitli özel sağlık kuruluşları bulunmaktadır. Planlama alanının ilçe merkezine yakın konumu, sağlık hizmetlerine erişim açısından avantajlı bir durum oluşturmaktadır. Mevcut sağlık altyapısının, planlanan nüfus artışı için yeterli kapasiteye sahip olduğu değerlendirilmektedir.</w:t>
      </w:r>
    </w:p>
    <w:p>
      <w:pPr>
        <w:pStyle w:val="Heading3"/>
        <w:spacing w:after="100" w:before="200"/>
      </w:pPr>
      <w:r>
        <w:rPr>
          <w:rFonts w:ascii="Arial" w:cs="Arial" w:eastAsia="Arial" w:hAnsi="Arial"/>
          <w:b/>
          <w:bCs/>
          <w:color w:val="404040"/>
          <w:sz w:val="24"/>
          <w:szCs w:val="24"/>
        </w:rPr>
        <w:t xml:space="preserve">4.5.3. Park ve Yeşil Alanlar</w:t>
      </w:r>
    </w:p>
    <w:p>
      <w:pPr>
        <w:spacing w:after="120" w:line="360"/>
        <w:jc w:val="both"/>
      </w:pPr>
      <w:r>
        <w:rPr>
          <w:rFonts w:ascii="Arial" w:cs="Arial" w:eastAsia="Arial" w:hAnsi="Arial"/>
          <w:sz w:val="22"/>
          <w:szCs w:val="22"/>
        </w:rPr>
        <w:t xml:space="preserve">Tasarım planında, planlama alanı içerisinde toplam 3 adet park alanı öngörülmüştür. Bu park alanları, Mekansal Planlar Yapım Yönetmeliği'nde belirtilen kişi başına 10 m² aktif yeşil alan standardına uygun olarak boyutlandırılmıştır. Park alanları, konut alanlarının arasında homojen bir dağılım göstermekte olup, tüm konutlardan yürüme mesafesinde (en fazla 500 metre) erişilebilir konumdadır.</w:t>
      </w:r>
    </w:p>
    <w:p>
      <w:r>
        <w:br w:type="page"/>
      </w:r>
    </w:p>
    <w:p>
      <w:pPr>
        <w:pStyle w:val="Heading1"/>
        <w:spacing w:after="200" w:before="400"/>
      </w:pPr>
      <w:r>
        <w:rPr>
          <w:rFonts w:ascii="Arial" w:cs="Arial" w:eastAsia="Arial" w:hAnsi="Arial"/>
          <w:b/>
          <w:bCs/>
          <w:color w:val="1F3864"/>
          <w:sz w:val="32"/>
          <w:szCs w:val="32"/>
        </w:rPr>
        <w:t xml:space="preserve">5. SOSYO-EKONOMİK YAPI ANALİZİ</w:t>
      </w:r>
    </w:p>
    <w:p>
      <w:pPr>
        <w:pStyle w:val="Heading2"/>
        <w:spacing w:after="150" w:before="300"/>
      </w:pPr>
      <w:r>
        <w:rPr>
          <w:rFonts w:ascii="Arial" w:cs="Arial" w:eastAsia="Arial" w:hAnsi="Arial"/>
          <w:b/>
          <w:bCs/>
          <w:color w:val="2E75B6"/>
          <w:sz w:val="26"/>
          <w:szCs w:val="26"/>
        </w:rPr>
        <w:t xml:space="preserve">5.1. Nüfus ve Demografik Yapı</w:t>
      </w:r>
    </w:p>
    <w:p>
      <w:pPr>
        <w:pStyle w:val="Heading3"/>
        <w:spacing w:after="100" w:before="200"/>
      </w:pPr>
      <w:r>
        <w:rPr>
          <w:rFonts w:ascii="Arial" w:cs="Arial" w:eastAsia="Arial" w:hAnsi="Arial"/>
          <w:b/>
          <w:bCs/>
          <w:color w:val="404040"/>
          <w:sz w:val="24"/>
          <w:szCs w:val="24"/>
        </w:rPr>
        <w:t xml:space="preserve">5.1.1. Nüfus Verileri ve Trendler</w:t>
      </w:r>
    </w:p>
    <w:p>
      <w:pPr>
        <w:spacing w:after="120" w:line="360"/>
        <w:jc w:val="both"/>
      </w:pPr>
      <w:r>
        <w:rPr>
          <w:rFonts w:ascii="Arial" w:cs="Arial" w:eastAsia="Arial" w:hAnsi="Arial"/>
          <w:sz w:val="22"/>
          <w:szCs w:val="22"/>
        </w:rPr>
        <w:t xml:space="preserve">TÜİK Adrese Dayalı Nüfus Kayıt Sistemi verilerine göre, Burhaniye ilçesinin 2025 yılı nüfusu 68.374 olarak kayıtlara geçmiştir. İlçe nüfusu son yıllarda istikrarlı bir artış göstermekte olup, 2024 yılında 67.039 olan nüfus 1.335 kişilik bir artışla 2025 yılında 68.374'e ulaşmıştır. Nüfus artış hızı yılda yaklaşık %1,5-2 oranında seyretmektedir.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Yıl</w:t>
            </w:r>
          </w:p>
        </w:tc>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Toplam Nüfus</w:t>
            </w:r>
          </w:p>
        </w:tc>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Erkek</w:t>
            </w:r>
          </w:p>
        </w:tc>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Kadın</w:t>
            </w:r>
          </w:p>
        </w:tc>
        <w:tc>
          <w:tcPr>
            <w:tcW w:type="dxa" w:w="18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Artış</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2020</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62.478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31.124</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31.354</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2021</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63.128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31.456</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31.672</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+650</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2022</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64.283</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32.118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32.165</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+1.155</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2023</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65.790</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32.890</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32.900</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+1.507</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2024</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67.039</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33.681</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33.358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+1.249</w:t>
            </w:r>
          </w:p>
        </w:tc>
      </w:tr>
      <w:tr>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2025</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68.374</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34.308</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34.062</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+1.335</w:t>
            </w:r>
          </w:p>
        </w:tc>
      </w:tr>
    </w:tbl>
    <w:p>
      <w:pPr>
        <w:spacing w:after="120"/>
      </w:pPr>
      <w:r>
        <w:rPr>
          <w:rFonts w:ascii="Arial" w:cs="Arial" w:eastAsia="Arial" w:hAnsi="Arial"/>
          <w:i/>
          <w:iCs/>
          <w:color w:val="666666"/>
          <w:sz w:val="18"/>
          <w:szCs w:val="18"/>
        </w:rPr>
        <w:t xml:space="preserve">Tablo 3: Burhaniye İlçesi Yıllara Göre Nüfus Değişimi (TÜİK)</w:t>
      </w:r>
    </w:p>
    <w:p>
      <w:pPr>
        <w:pStyle w:val="Heading3"/>
        <w:spacing w:after="100" w:before="200"/>
      </w:pPr>
      <w:r>
        <w:rPr>
          <w:rFonts w:ascii="Arial" w:cs="Arial" w:eastAsia="Arial" w:hAnsi="Arial"/>
          <w:b/>
          <w:bCs/>
          <w:color w:val="404040"/>
          <w:sz w:val="24"/>
          <w:szCs w:val="24"/>
        </w:rPr>
        <w:t xml:space="preserve">5.1.2. Nüfus Projeksiyonu</w:t>
      </w:r>
    </w:p>
    <w:p>
      <w:pPr>
        <w:spacing w:after="120" w:line="360"/>
        <w:jc w:val="both"/>
      </w:pPr>
      <w:r>
        <w:rPr>
          <w:rFonts w:ascii="Arial" w:cs="Arial" w:eastAsia="Arial" w:hAnsi="Arial"/>
          <w:sz w:val="22"/>
          <w:szCs w:val="22"/>
        </w:rPr>
        <w:t xml:space="preserve">Mevcut nüfus artış trendleri ve bölgesel gelişme dinamikleri dikkate alınarak, Burhaniye ilçesi için 2030, 2035 ve 2040 yılları nüfus projeksiyonları hazırlanmıştır. Projeksiyon çalışmasında geometrik artış yöntemi kullanılmış olup, yıllık ortalama artış oranı %1,8 olarak kabul edilmiştir.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Yıl</w:t>
            </w:r>
          </w:p>
        </w:tc>
        <w:tc>
          <w:tcPr>
            <w:tcW w:type="dxa" w:w="30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Projeksiyon Nüfusu</w:t>
            </w:r>
          </w:p>
        </w:tc>
        <w:tc>
          <w:tcPr>
            <w:tcW w:type="dxa" w:w="30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Artış (2025'e göre)</w:t>
            </w:r>
          </w:p>
        </w:tc>
      </w:tr>
      <w:tr>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2025 (mevcut)</w:t>
            </w:r>
          </w:p>
        </w:tc>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68.374</w:t>
            </w:r>
          </w:p>
        </w:tc>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r>
      <w:tr>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2030</w:t>
            </w:r>
          </w:p>
        </w:tc>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74.800</w:t>
            </w:r>
          </w:p>
        </w:tc>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+6.426</w:t>
            </w:r>
          </w:p>
        </w:tc>
      </w:tr>
      <w:tr>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2035</w:t>
            </w:r>
          </w:p>
        </w:tc>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81.800</w:t>
            </w:r>
          </w:p>
        </w:tc>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+13.426</w:t>
            </w:r>
          </w:p>
        </w:tc>
      </w:tr>
      <w:tr>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2040</w:t>
            </w:r>
          </w:p>
        </w:tc>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89.500</w:t>
            </w:r>
          </w:p>
        </w:tc>
        <w:tc>
          <w:tcPr>
            <w:tcW w:type="dxa" w:w="30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+21.126</w:t>
            </w:r>
          </w:p>
        </w:tc>
      </w:tr>
    </w:tbl>
    <w:p>
      <w:pPr>
        <w:spacing w:after="120"/>
      </w:pPr>
      <w:r>
        <w:rPr>
          <w:rFonts w:ascii="Arial" w:cs="Arial" w:eastAsia="Arial" w:hAnsi="Arial"/>
          <w:i/>
          <w:iCs/>
          <w:color w:val="666666"/>
          <w:sz w:val="18"/>
          <w:szCs w:val="18"/>
        </w:rPr>
        <w:t xml:space="preserve">Tablo 4: Burhaniye İlçesi Nüfus Projeksiyonu</w:t>
      </w:r>
    </w:p>
    <w:p>
      <w:pPr>
        <w:spacing w:after="120" w:line="360"/>
        <w:jc w:val="both"/>
      </w:pPr>
      <w:r>
        <w:rPr>
          <w:rFonts w:ascii="Arial" w:cs="Arial" w:eastAsia="Arial" w:hAnsi="Arial"/>
          <w:sz w:val="22"/>
          <w:szCs w:val="22"/>
        </w:rPr>
        <w:t xml:space="preserve">Nüfus projeksiyonları değerlendirildiğinde, Burhaniye'nin 2040 yılında 89.500 civarında bir nüfusa ulaşacağı öngörülmektedir. Bu artışın temel nedenleri arasında emekli göçü, turizm sektöründeki büyüme, kentsel dönüşüm projeleri ve bölgenin artan yaşam kalitesi sayılabilir. Planlama kararlarında bu nüfus projeksiyonu dikkate alınarak, sosyal donatı alanları ve teknik altyapı kapasitesi buna göre boyutlandırılmıştır.</w:t>
      </w:r>
    </w:p>
    <w:p>
      <w:pPr>
        <w:pStyle w:val="Heading3"/>
        <w:spacing w:after="100" w:before="200"/>
      </w:pPr>
      <w:r>
        <w:rPr>
          <w:rFonts w:ascii="Arial" w:cs="Arial" w:eastAsia="Arial" w:hAnsi="Arial"/>
          <w:b/>
          <w:bCs/>
          <w:color w:val="404040"/>
          <w:sz w:val="24"/>
          <w:szCs w:val="24"/>
        </w:rPr>
        <w:t xml:space="preserve">5.1.3. Yaş ve Cinsiyet Dağılımı</w:t>
      </w:r>
    </w:p>
    <w:p>
      <w:pPr>
        <w:spacing w:after="120" w:line="360"/>
        <w:jc w:val="both"/>
      </w:pPr>
      <w:r>
        <w:rPr>
          <w:rFonts w:ascii="Arial" w:cs="Arial" w:eastAsia="Arial" w:hAnsi="Arial"/>
          <w:sz w:val="22"/>
          <w:szCs w:val="22"/>
        </w:rPr>
        <w:t xml:space="preserve">Burhaniye ilçesinin demografik yapısı incelendiğinde, cinsiyet dağılımının oldukça dengeli olduğu görülmektedir. 2025 yılı verilerine göre nüfusun %50,2'si erkek (34.308), %49,8'i kadınlardan (34.062) oluşmaktadır. Yaş grupları açısından, Türkiye genelinde olduğu gibi çalışma çağı nüfusu (15-64 yaş) en büyük grubu oluşturmakla birlikte, Burhaniye özelinde emekli göçü nedeniyle 65 yaş üstü nüfusun oranı Türkiye ortalamasının üzerindedir.</w:t>
      </w:r>
    </w:p>
    <w:p>
      <w:pPr>
        <w:pStyle w:val="Heading2"/>
        <w:spacing w:after="150" w:before="300"/>
      </w:pPr>
      <w:r>
        <w:rPr>
          <w:rFonts w:ascii="Arial" w:cs="Arial" w:eastAsia="Arial" w:hAnsi="Arial"/>
          <w:b/>
          <w:bCs/>
          <w:color w:val="2E75B6"/>
          <w:sz w:val="26"/>
          <w:szCs w:val="26"/>
        </w:rPr>
        <w:t xml:space="preserve">5.2. Ekonomik Yapı</w:t>
      </w:r>
    </w:p>
    <w:p>
      <w:pPr>
        <w:pStyle w:val="Heading3"/>
        <w:spacing w:after="100" w:before="200"/>
      </w:pPr>
      <w:r>
        <w:rPr>
          <w:rFonts w:ascii="Arial" w:cs="Arial" w:eastAsia="Arial" w:hAnsi="Arial"/>
          <w:b/>
          <w:bCs/>
          <w:color w:val="404040"/>
          <w:sz w:val="24"/>
          <w:szCs w:val="24"/>
        </w:rPr>
        <w:t xml:space="preserve">5.2.1. Sektörel Dağılım</w:t>
      </w:r>
    </w:p>
    <w:p>
      <w:pPr>
        <w:spacing w:after="120" w:line="360"/>
        <w:jc w:val="both"/>
      </w:pPr>
      <w:r>
        <w:rPr>
          <w:rFonts w:ascii="Arial" w:cs="Arial" w:eastAsia="Arial" w:hAnsi="Arial"/>
          <w:sz w:val="22"/>
          <w:szCs w:val="22"/>
        </w:rPr>
        <w:t xml:space="preserve">Burhaniye ilçesinin ekonomik yapısı incelendiğinde, tarım, turizm ve hizmet sektörlerinin ön plana çıktığı görülmektedir. İlçe, Türkiye'nin en önemli sofralık zeytin üretim merkezlerinden biri olup, zeytin ve zeytinyağı üretimi ekonominin temel taşını oluşturmaktadır. Bunun yanı sıra şeftali, erik, kayısı ve incir gibi meyve türlerinin üretimi de önemli bir gelir kaynağıdır.</w:t>
      </w:r>
    </w:p>
    <w:p>
      <w:pPr>
        <w:spacing w:after="120" w:line="360"/>
        <w:jc w:val="both"/>
      </w:pPr>
      <w:r>
        <w:rPr>
          <w:rFonts w:ascii="Arial" w:cs="Arial" w:eastAsia="Arial" w:hAnsi="Arial"/>
          <w:sz w:val="22"/>
          <w:szCs w:val="22"/>
        </w:rPr>
        <w:t xml:space="preserve">Turizm sektörü, özellikle Ören Mahallesi'ndeki sahil turizmi ile birlikte ilçe ekonomisine önemli katkı sağlamaktadır. Yaz aylarında ilçe nüfusu turistik hareketlilik nedeniyle 2-3 katına çıkabilmektedir. Son yıllarda termal turizm, kırsal turizm ve gastronomi turizmi de gelişme potansiyeli gösteren alanlar arasındadır.</w:t>
      </w:r>
    </w:p>
    <w:p>
      <w:pPr>
        <w:pStyle w:val="Heading3"/>
        <w:spacing w:after="100" w:before="200"/>
      </w:pPr>
      <w:r>
        <w:rPr>
          <w:rFonts w:ascii="Arial" w:cs="Arial" w:eastAsia="Arial" w:hAnsi="Arial"/>
          <w:b/>
          <w:bCs/>
          <w:color w:val="404040"/>
          <w:sz w:val="24"/>
          <w:szCs w:val="24"/>
        </w:rPr>
        <w:t xml:space="preserve">5.2.2. Gayrimenkul Piyasası</w:t>
      </w:r>
    </w:p>
    <w:p>
      <w:pPr>
        <w:spacing w:after="120" w:line="360"/>
        <w:jc w:val="both"/>
      </w:pPr>
      <w:r>
        <w:rPr>
          <w:rFonts w:ascii="Arial" w:cs="Arial" w:eastAsia="Arial" w:hAnsi="Arial"/>
          <w:sz w:val="22"/>
          <w:szCs w:val="22"/>
        </w:rPr>
        <w:t xml:space="preserve">Burhaniye'de gayrimenkul piyasası son yıllarda belirgin bir canlanma göstermektedir. Özellikle Memiş Mahallesi, ilçe merkezine yakınlığı ve gelişme potansiyeli nedeniyle yatırımcıların ilgi odağı haline gelmiştir. Bölgede yeni inşaat projelerinin sayısı artmakta olup, 3+1 ve 4+1 daireler en çok talep gören konut tiplerini oluşturmaktadır. Metrekare satış fiyatları, konutun konumu, katı ve yaşına bağlı olarak değişmekle birlikte, genel olarak Türkiye ortalamasının altında seyretmektedir. Bu durum, bölgeyi hem yatırım hem de yaşam amaçlı konut alımı açısından cazip kılmaktadır.</w:t>
      </w:r>
    </w:p>
    <w:p>
      <w:r>
        <w:br w:type="page"/>
      </w:r>
    </w:p>
    <w:p>
      <w:pPr>
        <w:pStyle w:val="Heading1"/>
        <w:spacing w:after="200" w:before="400"/>
      </w:pPr>
      <w:r>
        <w:rPr>
          <w:rFonts w:ascii="Arial" w:cs="Arial" w:eastAsia="Arial" w:hAnsi="Arial"/>
          <w:b/>
          <w:bCs/>
          <w:color w:val="1F3864"/>
          <w:sz w:val="32"/>
          <w:szCs w:val="32"/>
        </w:rPr>
        <w:t xml:space="preserve">6. AFET RİSK ANALİZİ</w:t>
      </w:r>
    </w:p>
    <w:p>
      <w:pPr>
        <w:pStyle w:val="Heading2"/>
        <w:spacing w:after="150" w:before="300"/>
      </w:pPr>
      <w:r>
        <w:rPr>
          <w:rFonts w:ascii="Arial" w:cs="Arial" w:eastAsia="Arial" w:hAnsi="Arial"/>
          <w:b/>
          <w:bCs/>
          <w:color w:val="2E75B6"/>
          <w:sz w:val="26"/>
          <w:szCs w:val="26"/>
        </w:rPr>
        <w:t xml:space="preserve">6.1. Deprem Riski</w:t>
      </w:r>
    </w:p>
    <w:p>
      <w:pPr>
        <w:pStyle w:val="Heading3"/>
        <w:spacing w:after="100" w:before="200"/>
      </w:pPr>
      <w:r>
        <w:rPr>
          <w:rFonts w:ascii="Arial" w:cs="Arial" w:eastAsia="Arial" w:hAnsi="Arial"/>
          <w:b/>
          <w:bCs/>
          <w:color w:val="404040"/>
          <w:sz w:val="24"/>
          <w:szCs w:val="24"/>
        </w:rPr>
        <w:t xml:space="preserve">6.1.1. Tektonik Yapı ve Fay Hatları</w:t>
      </w:r>
    </w:p>
    <w:p>
      <w:pPr>
        <w:spacing w:after="120" w:line="360"/>
        <w:jc w:val="both"/>
      </w:pPr>
      <w:r>
        <w:rPr>
          <w:rFonts w:ascii="Arial" w:cs="Arial" w:eastAsia="Arial" w:hAnsi="Arial"/>
          <w:sz w:val="22"/>
          <w:szCs w:val="22"/>
        </w:rPr>
        <w:t xml:space="preserve">Burhaniye ilçesi, Türkiye'nin en aktif sismik bölgelerinden birinde konumlanmaktadır. Bölge, iki ana tektonik yapının etkisi altındadır: Kuzey Anadolu Fay Hattı'nın güney kolu ve Ege genişleme rejimi (graben sistemi). Edremit Körfezi'ni oluşturan fay hattı, tipik bir normal fay özelliği taşımakta olup, körfezin kuzey sınırını uzun bir hat olarak izleyen Edremit Fayı yaklaşık 7,0 büyüklüğünde bir deprem üretme potansiyeline sahiptir.</w:t>
      </w:r>
    </w:p>
    <w:p>
      <w:pPr>
        <w:spacing w:after="120" w:line="360"/>
        <w:jc w:val="both"/>
      </w:pPr>
      <w:r>
        <w:rPr>
          <w:rFonts w:ascii="Arial" w:cs="Arial" w:eastAsia="Arial" w:hAnsi="Arial"/>
          <w:sz w:val="22"/>
          <w:szCs w:val="22"/>
        </w:rPr>
        <w:t xml:space="preserve">Planlama alanını doğrudan etkileyebilecek fay hatları arasında Edremit Fay Zonu (EFZ) ve Havran-Balıkesir Fay Zonu (HBFZ) ön plana çıkmaktadır. Aletsel dönem içerisinde EFZ ile ilişkilendirilen en büyük deprem, 6 Ekim 1944 tarihinde meydana gelen depremdir. Bu deprem, bölgede önemli hasarlara neden olmuştur. Ayrıca 10 Ağustos 2025 tarihinde Sındırgı merkezli 6,1 büyüklüğünde meydana gelen deprem, Balıkesir ilinin deprem riskini bir kez daha gözler önüne sermiştir.</w:t>
      </w:r>
    </w:p>
    <w:p>
      <w:pPr>
        <w:pStyle w:val="Heading3"/>
        <w:spacing w:after="100" w:before="200"/>
      </w:pPr>
      <w:r>
        <w:rPr>
          <w:rFonts w:ascii="Arial" w:cs="Arial" w:eastAsia="Arial" w:hAnsi="Arial"/>
          <w:b/>
          <w:bCs/>
          <w:color w:val="404040"/>
          <w:sz w:val="24"/>
          <w:szCs w:val="24"/>
        </w:rPr>
        <w:t xml:space="preserve">6.1.2. Sıvılaşma Potansiyeli</w:t>
      </w:r>
    </w:p>
    <w:p>
      <w:pPr>
        <w:spacing w:after="120" w:line="360"/>
        <w:jc w:val="both"/>
      </w:pPr>
      <w:r>
        <w:rPr>
          <w:rFonts w:ascii="Arial" w:cs="Arial" w:eastAsia="Arial" w:hAnsi="Arial"/>
          <w:sz w:val="22"/>
          <w:szCs w:val="22"/>
        </w:rPr>
        <w:t xml:space="preserve">Yerbilimleri dergisinde yayımlanan araştırma makalesine göre, Burhaniye yerleşim alanı birinci derece deprem bölgesinde yer almakta olup, yerleşim alanının büyük kısmı alüvyon zemin üzerine kurulmuştur. Havran-Balıkesir Fay Zonu'na yakın konumlanmış Burhaniye'de, özellikle alüvyon üzerine kurulu kıyıya komşu alanlarda sıvılaşma tehlikesi büyüktür.</w:t>
      </w:r>
    </w:p>
    <w:p>
      <w:pPr>
        <w:spacing w:after="120" w:line="360"/>
        <w:jc w:val="both"/>
      </w:pPr>
      <w:r>
        <w:rPr>
          <w:rFonts w:ascii="Arial" w:cs="Arial" w:eastAsia="Arial" w:hAnsi="Arial"/>
          <w:sz w:val="22"/>
          <w:szCs w:val="22"/>
        </w:rPr>
        <w:t xml:space="preserve">Çalışma kapsamında, Burhaniye Belediyesi arşivinden temin edilen 97 sondaj verisi kullanılarak oluşturulan veri tabanı ile yerleşim alanının sıvılaşma potansiyeli değerlendirilmiştir. Farklı derinliklerde (3, 6, 9, 12 ve 15 metre) düzeltilmiş SPT-N değerlerinin dağılımı analiz edilmiş, yeraltı suyu seviyesi ve eğim haritaları hazırlanmıştır. Değerlendirme sonucunda, planlama alanının bulunduğu bölgenin sıvılaşma potansiyelinin orta düzeyde olduğu belirlenmiştir.</w:t>
      </w:r>
    </w:p>
    <w:p>
      <w:pPr>
        <w:pStyle w:val="Heading3"/>
        <w:spacing w:after="100" w:before="200"/>
      </w:pPr>
      <w:r>
        <w:rPr>
          <w:rFonts w:ascii="Arial" w:cs="Arial" w:eastAsia="Arial" w:hAnsi="Arial"/>
          <w:b/>
          <w:bCs/>
          <w:color w:val="404040"/>
          <w:sz w:val="24"/>
          <w:szCs w:val="24"/>
        </w:rPr>
        <w:t xml:space="preserve">6.1.3. Deprem Tehlike Haritası (2018 TDTH)</w:t>
      </w:r>
    </w:p>
    <w:p>
      <w:pPr>
        <w:spacing w:after="120" w:line="360"/>
        <w:jc w:val="both"/>
      </w:pPr>
      <w:r>
        <w:rPr>
          <w:rFonts w:ascii="Arial" w:cs="Arial" w:eastAsia="Arial" w:hAnsi="Arial"/>
          <w:sz w:val="22"/>
          <w:szCs w:val="22"/>
        </w:rPr>
        <w:t xml:space="preserve">2018 yılında AFAD tarafından yayımlanan Türkiye Deprem Tehlike Haritası (TDTH), eski bölge kavramını terk ederek her bir konum için en yüksek yer ivmesi (PGA) değerini hesaplamıştır. Bu haritaya göre, Burhaniye ilçesi ve planlama alanı yüksek deprem tehlikesi kategorisinde yer almaktadır. 475 yıl dönüş periyodu için hesaplanan PGA değeri yaklaşık 0,35-0,45g arasında olup, bu değer önemli bir deprem tehlikesine işaret etmektedir.</w:t>
      </w:r>
    </w:p>
    <w:p>
      <w:pPr>
        <w:spacing w:after="120" w:line="360"/>
        <w:jc w:val="both"/>
      </w:pPr>
      <w:r>
        <w:rPr>
          <w:rFonts w:ascii="Arial" w:cs="Arial" w:eastAsia="Arial" w:hAnsi="Arial"/>
          <w:sz w:val="22"/>
          <w:szCs w:val="22"/>
        </w:rPr>
        <w:t xml:space="preserve">Yapılaşma kararlarında, Türkiye Bina Deprem Yönetmeliği (2018) hükümleri doğrultusunda, zemin sınıfına uygun tasarım spektrumu kullanılması, yapısal hesaplarda sismik yüklemelerin dikkate alınması ve depreme dayanıklı yapı tasarımı ilkelerinin uygulanması zorunludur.</w:t>
      </w:r>
    </w:p>
    <w:p>
      <w:pPr>
        <w:pStyle w:val="Heading2"/>
        <w:spacing w:after="150" w:before="300"/>
      </w:pPr>
      <w:r>
        <w:rPr>
          <w:rFonts w:ascii="Arial" w:cs="Arial" w:eastAsia="Arial" w:hAnsi="Arial"/>
          <w:b/>
          <w:bCs/>
          <w:color w:val="2E75B6"/>
          <w:sz w:val="26"/>
          <w:szCs w:val="26"/>
        </w:rPr>
        <w:t xml:space="preserve">6.2. Diğer Afet Riskleri</w:t>
      </w:r>
    </w:p>
    <w:p>
      <w:pPr>
        <w:pStyle w:val="Heading3"/>
        <w:spacing w:after="100" w:before="200"/>
      </w:pPr>
      <w:r>
        <w:rPr>
          <w:rFonts w:ascii="Arial" w:cs="Arial" w:eastAsia="Arial" w:hAnsi="Arial"/>
          <w:b/>
          <w:bCs/>
          <w:color w:val="404040"/>
          <w:sz w:val="24"/>
          <w:szCs w:val="24"/>
        </w:rPr>
        <w:t xml:space="preserve">6.2.1. Heyelan Riski</w:t>
      </w:r>
    </w:p>
    <w:p>
      <w:pPr>
        <w:spacing w:after="120" w:line="360"/>
        <w:jc w:val="both"/>
      </w:pPr>
      <w:r>
        <w:rPr>
          <w:rFonts w:ascii="Arial" w:cs="Arial" w:eastAsia="Arial" w:hAnsi="Arial"/>
          <w:sz w:val="22"/>
          <w:szCs w:val="22"/>
        </w:rPr>
        <w:t xml:space="preserve">Planlama alanının bulunduğu bölge, genel olarak düz ve hafif eğimli bir topografyaya sahip olduğundan, heyelan riski düşük olarak değerlendirilmektedir. Ancak çevredeki yamaç alanlarında, özellikle yoğun yağış dönemlerinde yüzeysel toprak kaymaları görülebilmektedir. Yapılaşma kararlarında şev stabilitesine dikkat edilmesi ve gerekli önlemlerin alınması gerekmektedir.</w:t>
      </w:r>
    </w:p>
    <w:p>
      <w:pPr>
        <w:pStyle w:val="Heading3"/>
        <w:spacing w:after="100" w:before="200"/>
      </w:pPr>
      <w:r>
        <w:rPr>
          <w:rFonts w:ascii="Arial" w:cs="Arial" w:eastAsia="Arial" w:hAnsi="Arial"/>
          <w:b/>
          <w:bCs/>
          <w:color w:val="404040"/>
          <w:sz w:val="24"/>
          <w:szCs w:val="24"/>
        </w:rPr>
        <w:t xml:space="preserve">6.2.2. Yangın Riski</w:t>
      </w:r>
    </w:p>
    <w:p>
      <w:pPr>
        <w:spacing w:after="120" w:line="360"/>
        <w:jc w:val="both"/>
      </w:pPr>
      <w:r>
        <w:rPr>
          <w:rFonts w:ascii="Arial" w:cs="Arial" w:eastAsia="Arial" w:hAnsi="Arial"/>
          <w:sz w:val="22"/>
          <w:szCs w:val="22"/>
        </w:rPr>
        <w:t xml:space="preserve">Burhaniye ve çevresi, özellikle yaz aylarında orman ve makilik alanlarda yangın riski taşımaktadır. Planlama alanının çevresinde zeytin bahçeleri ve meyve bahçelerinin bulunması, yangın riskini artıran bir unsur olabilir. Yapılaşma kararlarında, yangına müdahale erişimi için yeterli yol genişliklerinin sağlanması ve itfaiye araçlarının tüm yapılara ulaşabilecek şekilde yol ağının planlanması önem taşımaktadır.</w:t>
      </w:r>
    </w:p>
    <w:p>
      <w:pPr>
        <w:pStyle w:val="Heading3"/>
        <w:spacing w:after="100" w:before="200"/>
      </w:pPr>
      <w:r>
        <w:rPr>
          <w:rFonts w:ascii="Arial" w:cs="Arial" w:eastAsia="Arial" w:hAnsi="Arial"/>
          <w:b/>
          <w:bCs/>
          <w:color w:val="404040"/>
          <w:sz w:val="24"/>
          <w:szCs w:val="24"/>
        </w:rPr>
        <w:t xml:space="preserve">6.2.3. Tsunami Riski</w:t>
      </w:r>
    </w:p>
    <w:p>
      <w:pPr>
        <w:spacing w:after="120" w:line="360"/>
        <w:jc w:val="both"/>
      </w:pPr>
      <w:r>
        <w:rPr>
          <w:rFonts w:ascii="Arial" w:cs="Arial" w:eastAsia="Arial" w:hAnsi="Arial"/>
          <w:sz w:val="22"/>
          <w:szCs w:val="22"/>
        </w:rPr>
        <w:t xml:space="preserve">Edremit Körfezi'ndeki fay hattının deniz tabanında dikey bir çöküş yaratabilme potansiyeli, körfez içinde bulunan Ayvalık, Burhaniye ve Akçay kıyılarını tsunami riskiyle karşı karşıya bırakmaktadır. 1944 depremi, bu sürecin daha küçük ölçekte nasıl işlediğini kanıtlamıştır. Ancak planlama alanının deniz kıyısından yaklaşık 3,5 km uzaklıkta ve 40-50 metre yükseklikte konumlanması nedeniyle, tsunami riskinin doğrudan bir tehdit oluşturmadığı değerlendirilmektedir.</w:t>
      </w:r>
    </w:p>
    <w:p>
      <w:r>
        <w:br w:type="page"/>
      </w:r>
    </w:p>
    <w:p>
      <w:pPr>
        <w:pStyle w:val="Heading1"/>
        <w:spacing w:after="200" w:before="400"/>
      </w:pPr>
      <w:r>
        <w:rPr>
          <w:rFonts w:ascii="Arial" w:cs="Arial" w:eastAsia="Arial" w:hAnsi="Arial"/>
          <w:b/>
          <w:bCs/>
          <w:color w:val="1F3864"/>
          <w:sz w:val="32"/>
          <w:szCs w:val="32"/>
        </w:rPr>
        <w:t xml:space="preserve">7. TARİHİ VE KÜLTÜREL DEĞERLER</w:t>
      </w:r>
    </w:p>
    <w:p>
      <w:pPr>
        <w:pStyle w:val="Heading2"/>
        <w:spacing w:after="150" w:before="300"/>
      </w:pPr>
      <w:r>
        <w:rPr>
          <w:rFonts w:ascii="Arial" w:cs="Arial" w:eastAsia="Arial" w:hAnsi="Arial"/>
          <w:b/>
          <w:bCs/>
          <w:color w:val="2E75B6"/>
          <w:sz w:val="26"/>
          <w:szCs w:val="26"/>
        </w:rPr>
        <w:t xml:space="preserve">7.1. Tarihi Geçmiş</w:t>
      </w:r>
    </w:p>
    <w:p>
      <w:pPr>
        <w:spacing w:after="120" w:line="360"/>
        <w:jc w:val="both"/>
      </w:pPr>
      <w:r>
        <w:rPr>
          <w:rFonts w:ascii="Arial" w:cs="Arial" w:eastAsia="Arial" w:hAnsi="Arial"/>
          <w:sz w:val="22"/>
          <w:szCs w:val="22"/>
        </w:rPr>
        <w:t xml:space="preserve">Burhaniye, tarihi 4000 yıl öncesine dayanan kadim bir yerleşim yeridir. Antik dönemde Adramytteion (Adramyttion) adıyla bilinen kent, Roma, Bizans, Selçuklu ve Osmanlı medeniyetlerine ev sahipliği yapmıştır. Osmanlı döneminde önemli bir zeytin üretim merkezi olan Burhaniye, Cumhuriyet döneminde ilçe statüsü kazanmıştır.</w:t>
      </w:r>
    </w:p>
    <w:p>
      <w:pPr>
        <w:spacing w:after="120" w:line="360"/>
        <w:jc w:val="both"/>
      </w:pPr>
      <w:r>
        <w:rPr>
          <w:rFonts w:ascii="Arial" w:cs="Arial" w:eastAsia="Arial" w:hAnsi="Arial"/>
          <w:sz w:val="22"/>
          <w:szCs w:val="22"/>
        </w:rPr>
        <w:t xml:space="preserve">İlçede tarihi ve kültürel değer taşıyan birçok yapı bulunmaktadır. Bunlar arasında Mehmedemin Ağa Camii (1743), Hanay Camii (1750), Hasanağa Cami (1756), Hacıahmet Camii (1798) ve Koca Camii (1890) sayılabilir. Bu tarihi yapılar, ilçe merkezinde yoğunlaşmakta olup, planlama alanının bulunduğu Memiş Mahallesi'nde tescilli tarihi yapı bulunmamaktadır.</w:t>
      </w:r>
    </w:p>
    <w:p>
      <w:pPr>
        <w:pStyle w:val="Heading2"/>
        <w:spacing w:after="150" w:before="300"/>
      </w:pPr>
      <w:r>
        <w:rPr>
          <w:rFonts w:ascii="Arial" w:cs="Arial" w:eastAsia="Arial" w:hAnsi="Arial"/>
          <w:b/>
          <w:bCs/>
          <w:color w:val="2E75B6"/>
          <w:sz w:val="26"/>
          <w:szCs w:val="26"/>
        </w:rPr>
        <w:t xml:space="preserve">7.2. Koruma Alanları Değerlendirmesi</w:t>
      </w:r>
    </w:p>
    <w:p>
      <w:pPr>
        <w:spacing w:after="120" w:line="360"/>
        <w:jc w:val="both"/>
      </w:pPr>
      <w:r>
        <w:rPr>
          <w:rFonts w:ascii="Arial" w:cs="Arial" w:eastAsia="Arial" w:hAnsi="Arial"/>
          <w:sz w:val="22"/>
          <w:szCs w:val="22"/>
        </w:rPr>
        <w:t xml:space="preserve">Planlama alanı ve yakın çevresinde Kültür Varlıklarını Koruma Bölge Kurulu tarafından tescil edilmiş herhangi bir taşınmaz kültür varlığı, arkeolojik sit alanı veya kentsel sit alanı bulunmamaktadır. Ayrıca alan, herhangi bir doğal sit alanı kapsamında da yer almamaktadır. Bu durum, planlama kararlarının uygulanmasında koruma mevzuatından kaynaklanan herhangi bir kısıtlamanın bulunmadığını ortaya koymaktadır. Bununla birlikte, inşaat sırasında herhangi bir arkeolojik buluntuya rastlanması halinde, 2863 sayılı Kanun hükümlerine uygun olarak hareket edilmesi gerekmektedir.</w:t>
      </w:r>
    </w:p>
    <w:p>
      <w:r>
        <w:br w:type="page"/>
      </w:r>
    </w:p>
    <w:p>
      <w:pPr>
        <w:pStyle w:val="Heading1"/>
        <w:spacing w:after="200" w:before="400"/>
      </w:pPr>
      <w:r>
        <w:rPr>
          <w:rFonts w:ascii="Arial" w:cs="Arial" w:eastAsia="Arial" w:hAnsi="Arial"/>
          <w:b/>
          <w:bCs/>
          <w:color w:val="1F3864"/>
          <w:sz w:val="32"/>
          <w:szCs w:val="32"/>
        </w:rPr>
        <w:t xml:space="preserve">8. SENTEZ VE DEĞERLENDİRME</w:t>
      </w:r>
    </w:p>
    <w:p>
      <w:pPr>
        <w:pStyle w:val="Heading2"/>
        <w:spacing w:after="150" w:before="300"/>
      </w:pPr>
      <w:r>
        <w:rPr>
          <w:rFonts w:ascii="Arial" w:cs="Arial" w:eastAsia="Arial" w:hAnsi="Arial"/>
          <w:b/>
          <w:bCs/>
          <w:color w:val="2E75B6"/>
          <w:sz w:val="26"/>
          <w:szCs w:val="26"/>
        </w:rPr>
        <w:t xml:space="preserve">8.1. SWOT Analizi</w:t>
      </w:r>
    </w:p>
    <w:p>
      <w:pPr>
        <w:spacing w:after="120" w:line="360"/>
        <w:jc w:val="both"/>
      </w:pPr>
      <w:r>
        <w:rPr>
          <w:rFonts w:ascii="Arial" w:cs="Arial" w:eastAsia="Arial" w:hAnsi="Arial"/>
          <w:b/>
          <w:bCs/>
          <w:sz w:val="22"/>
          <w:szCs w:val="22"/>
        </w:rPr>
        <w:t xml:space="preserve">Güçlü Yönler:</w:t>
      </w:r>
    </w:p>
    <w:p>
      <w:pPr>
        <w:spacing w:after="120" w:line="360"/>
        <w:jc w:val="both"/>
      </w:pPr>
      <w:r>
        <w:rPr>
          <w:rFonts w:ascii="Arial" w:cs="Arial" w:eastAsia="Arial" w:hAnsi="Arial"/>
          <w:sz w:val="22"/>
          <w:szCs w:val="22"/>
        </w:rPr>
        <w:t xml:space="preserve">İlçe merkezine yakın ve erişilebilir konum; mevcut altyapı ağına (su, kanalizasyon, elektrik, doğalgaz) bağlantı imkanı; düz ve yapılaşmaya uygun topografya; Edremit Körfezi'nin sunduğu iklimsel avantajlar; artan konut talebi ve yatırım potansiyeli; Balıkesir Büyükşehir Belediyesi tarafından onaylanan 1/25000 ölçekli Nazım İmar Planı'nın varlığı; bölgedeki aktif kentsel gelişim dinamikleri.</w:t>
      </w:r>
    </w:p>
    <w:p>
      <w:pPr>
        <w:spacing w:after="120" w:line="360"/>
        <w:jc w:val="both"/>
      </w:pPr>
      <w:r>
        <w:rPr>
          <w:rFonts w:ascii="Arial" w:cs="Arial" w:eastAsia="Arial" w:hAnsi="Arial"/>
          <w:b/>
          <w:bCs/>
          <w:sz w:val="22"/>
          <w:szCs w:val="22"/>
        </w:rPr>
        <w:t xml:space="preserve">Zayıf Yönler:</w:t>
      </w:r>
    </w:p>
    <w:p>
      <w:pPr>
        <w:spacing w:after="120" w:line="360"/>
        <w:jc w:val="both"/>
      </w:pPr>
      <w:r>
        <w:rPr>
          <w:rFonts w:ascii="Arial" w:cs="Arial" w:eastAsia="Arial" w:hAnsi="Arial"/>
          <w:sz w:val="22"/>
          <w:szCs w:val="22"/>
        </w:rPr>
        <w:t xml:space="preserve">Birinci derece deprem bölgesinde yer alması ve sıvılaşma potansiyeli; alüvyon zemin yapısının yapılaşma maliyetlerini artırması; tarımsal nitelikli arazinin imara açılmasının çevresel etkileri; yaz aylarında su kıtlığı yaşanabilmesi; mevcut yol ağının bazı bölümlerde yetersiz kalması.</w:t>
      </w:r>
    </w:p>
    <w:p>
      <w:pPr>
        <w:spacing w:after="120" w:line="360"/>
        <w:jc w:val="both"/>
      </w:pPr>
      <w:r>
        <w:rPr>
          <w:rFonts w:ascii="Arial" w:cs="Arial" w:eastAsia="Arial" w:hAnsi="Arial"/>
          <w:b/>
          <w:bCs/>
          <w:sz w:val="22"/>
          <w:szCs w:val="22"/>
        </w:rPr>
        <w:t xml:space="preserve">Fırsatlar:</w:t>
      </w:r>
    </w:p>
    <w:p>
      <w:pPr>
        <w:spacing w:after="120" w:line="360"/>
        <w:jc w:val="both"/>
      </w:pPr>
      <w:r>
        <w:rPr>
          <w:rFonts w:ascii="Arial" w:cs="Arial" w:eastAsia="Arial" w:hAnsi="Arial"/>
          <w:sz w:val="22"/>
          <w:szCs w:val="22"/>
        </w:rPr>
        <w:t xml:space="preserve">Emekli göçü ile artan konut talebi; turizm sektöründeki büyüme potansiyeli; kentsel dönüşüm projelerinin yaygınlaşması; Balıkesir-İzmir otoyol projesinin bölgeye erişilebilirliği artırması; doğal güzelliklerin turizm potansiyelini desteklemesi.</w:t>
      </w:r>
    </w:p>
    <w:p>
      <w:pPr>
        <w:spacing w:after="120" w:line="360"/>
        <w:jc w:val="both"/>
      </w:pPr>
      <w:r>
        <w:rPr>
          <w:rFonts w:ascii="Arial" w:cs="Arial" w:eastAsia="Arial" w:hAnsi="Arial"/>
          <w:b/>
          <w:bCs/>
          <w:sz w:val="22"/>
          <w:szCs w:val="22"/>
        </w:rPr>
        <w:t xml:space="preserve">Tehditler:</w:t>
      </w:r>
    </w:p>
    <w:p>
      <w:pPr>
        <w:spacing w:after="120" w:line="360"/>
        <w:jc w:val="both"/>
      </w:pPr>
      <w:r>
        <w:rPr>
          <w:rFonts w:ascii="Arial" w:cs="Arial" w:eastAsia="Arial" w:hAnsi="Arial"/>
          <w:sz w:val="22"/>
          <w:szCs w:val="22"/>
        </w:rPr>
        <w:t xml:space="preserve">Olası büyük deprem riski; iklim değişikliğinin tarımsal üretim ve su kaynakları üzerindeki olumsuz etkileri; kontrolsüz kentleşmenin çevresel bozulmaya neden olması; tarımsal alanların azalması.</w:t>
      </w:r>
    </w:p>
    <w:p>
      <w:pPr>
        <w:pStyle w:val="Heading2"/>
        <w:spacing w:after="150" w:before="300"/>
      </w:pPr>
      <w:r>
        <w:rPr>
          <w:rFonts w:ascii="Arial" w:cs="Arial" w:eastAsia="Arial" w:hAnsi="Arial"/>
          <w:b/>
          <w:bCs/>
          <w:color w:val="2E75B6"/>
          <w:sz w:val="26"/>
          <w:szCs w:val="26"/>
        </w:rPr>
        <w:t xml:space="preserve">8.2. Sentez Değerlendirmesi</w:t>
      </w:r>
    </w:p>
    <w:p>
      <w:pPr>
        <w:spacing w:after="120" w:line="360"/>
        <w:jc w:val="both"/>
      </w:pPr>
      <w:r>
        <w:rPr>
          <w:rFonts w:ascii="Arial" w:cs="Arial" w:eastAsia="Arial" w:hAnsi="Arial"/>
          <w:sz w:val="22"/>
          <w:szCs w:val="22"/>
        </w:rPr>
        <w:t xml:space="preserve">Araştırma ve analiz çalışmaları sonucunda elde edilen veriler bir bütün olarak değerlendirildiğinde, planlama alanının konut ağırlıklı karma kullanım fonksiyonuna uygun olduğu sonucuna varılmıştır. Alanın düz topografyası, mevcut altyapı ağına yakınlığı ve ilçe merkezindeki ulaşım bağlantıları yapılaşma için elverişli koşullar sunmaktadır. Ancak deprem riski ve zemin koşulları nedeniyle, yapılaşma kararlarında Türkiye Bina Deprem Yönetmeliği hükümlerine titizlikle uyulması ve gerekli zemin iyileştirme tedbirlerinin alınması zorunludur.</w:t>
      </w:r>
    </w:p>
    <w:p>
      <w:r>
        <w:br w:type="page"/>
      </w:r>
    </w:p>
    <w:p>
      <w:pPr>
        <w:pStyle w:val="Heading1"/>
        <w:spacing w:after="200" w:before="400"/>
      </w:pPr>
      <w:r>
        <w:rPr>
          <w:rFonts w:ascii="Arial" w:cs="Arial" w:eastAsia="Arial" w:hAnsi="Arial"/>
          <w:b/>
          <w:bCs/>
          <w:color w:val="1F3864"/>
          <w:sz w:val="32"/>
          <w:szCs w:val="32"/>
        </w:rPr>
        <w:t xml:space="preserve">9. PLAN KARARLARI</w:t>
      </w:r>
    </w:p>
    <w:p>
      <w:pPr>
        <w:pStyle w:val="Heading2"/>
        <w:spacing w:after="150" w:before="300"/>
      </w:pPr>
      <w:r>
        <w:rPr>
          <w:rFonts w:ascii="Arial" w:cs="Arial" w:eastAsia="Arial" w:hAnsi="Arial"/>
          <w:b/>
          <w:bCs/>
          <w:color w:val="2E75B6"/>
          <w:sz w:val="26"/>
          <w:szCs w:val="26"/>
        </w:rPr>
        <w:t xml:space="preserve">9.1. Arazi Kullanım Kararları</w:t>
      </w:r>
    </w:p>
    <w:p>
      <w:pPr>
        <w:spacing w:after="120" w:line="360"/>
        <w:jc w:val="both"/>
      </w:pPr>
      <w:r>
        <w:rPr>
          <w:rFonts w:ascii="Arial" w:cs="Arial" w:eastAsia="Arial" w:hAnsi="Arial"/>
          <w:sz w:val="22"/>
          <w:szCs w:val="22"/>
        </w:rPr>
        <w:t xml:space="preserve">Tasarım planı incelendiğinde, planlama alanı ve çevresinde aşağıdaki arazi kullanım kararlarının alındığı görülmektedir: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600"/>
      </w:tblGrid>
      <w:tr>
        <w:tc>
          <w:tcPr>
            <w:tcW w:type="dxa" w:w="22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Fonksiyon</w:t>
            </w:r>
          </w:p>
        </w:tc>
        <w:tc>
          <w:tcPr>
            <w:tcW w:type="dxa" w:w="16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Emsal (E)</w:t>
            </w:r>
          </w:p>
        </w:tc>
        <w:tc>
          <w:tcPr>
            <w:tcW w:type="dxa" w:w="16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Yençok (m)</w:t>
            </w:r>
          </w:p>
        </w:tc>
        <w:tc>
          <w:tcPr>
            <w:tcW w:type="dxa" w:w="36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Açıklama</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Konut Alanı</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1,20</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18,00</w:t>
            </w:r>
          </w:p>
        </w:tc>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Ağırlıklı olarak konut fonksiyonlu alan</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Ticaret+Konut</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1,20</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19,40</w:t>
            </w:r>
          </w:p>
        </w:tc>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Zemin kat ticaret, üst katlar konut</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Park Alanı</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Aktif yeşil alan, 3 adet park</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Anaokulu (ANA)</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Eğitim donatı alanı</w:t>
            </w:r>
          </w:p>
        </w:tc>
      </w:tr>
      <w:tr>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Otopark (OB)</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c>
          <w:tcPr>
            <w:tcW w:type="dxa" w:w="36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Açık otopark alanı</w:t>
            </w:r>
          </w:p>
        </w:tc>
      </w:tr>
    </w:tbl>
    <w:p>
      <w:pPr>
        <w:spacing w:after="120"/>
      </w:pPr>
      <w:r>
        <w:rPr>
          <w:rFonts w:ascii="Arial" w:cs="Arial" w:eastAsia="Arial" w:hAnsi="Arial"/>
          <w:i/>
          <w:iCs/>
          <w:color w:val="666666"/>
          <w:sz w:val="18"/>
          <w:szCs w:val="18"/>
        </w:rPr>
        <w:t xml:space="preserve">Tablo 5: Plan Kararları Özet Tablosu</w:t>
      </w:r>
    </w:p>
    <w:p>
      <w:pPr>
        <w:pStyle w:val="Heading2"/>
        <w:spacing w:after="150" w:before="300"/>
      </w:pPr>
      <w:r>
        <w:rPr>
          <w:rFonts w:ascii="Arial" w:cs="Arial" w:eastAsia="Arial" w:hAnsi="Arial"/>
          <w:b/>
          <w:bCs/>
          <w:color w:val="2E75B6"/>
          <w:sz w:val="26"/>
          <w:szCs w:val="26"/>
        </w:rPr>
        <w:t xml:space="preserve">9.2. Yapılaşma Koşulları</w:t>
      </w:r>
    </w:p>
    <w:p>
      <w:pPr>
        <w:spacing w:after="120" w:line="360"/>
        <w:jc w:val="both"/>
      </w:pPr>
      <w:r>
        <w:rPr>
          <w:rFonts w:ascii="Arial" w:cs="Arial" w:eastAsia="Arial" w:hAnsi="Arial"/>
          <w:sz w:val="22"/>
          <w:szCs w:val="22"/>
        </w:rPr>
        <w:t xml:space="preserve">Konut alanları için belirlenen yapılaşma koşulları: Emsal (E) = 1,20, Yençok = 18,00 metre (yaklaşık 5 kat). Bu değerler, Planlı Alanlar İmar Yönetmeliği'nde belirtilen maksimum yapılaşma koşullarına uygun olup, bölgenin mevcut yapı yoğunluğu ve siluet bütünlüğü ile uyumludur.</w:t>
      </w:r>
    </w:p>
    <w:p>
      <w:pPr>
        <w:spacing w:after="120" w:line="360"/>
        <w:jc w:val="both"/>
      </w:pPr>
      <w:r>
        <w:rPr>
          <w:rFonts w:ascii="Arial" w:cs="Arial" w:eastAsia="Arial" w:hAnsi="Arial"/>
          <w:sz w:val="22"/>
          <w:szCs w:val="22"/>
        </w:rPr>
        <w:t xml:space="preserve">Ticaret+Konut alanları için belirlenen yapılaşma koşulları: Emsal (E) = 1,20, Yençok = 19,40 metre (yaklaşık 6 kat). Zemin kat ticaret kullanımına ayrılmış olup, üst katlar konut olarak planlanmıştır. Ticaret birimlerinin cephe genişliği ve derinliği, Otopark Yönetmeliği'nde belirtilen otopark ihtiyacı dikkate alınarak belirlenmiştir.</w:t>
      </w:r>
    </w:p>
    <w:p>
      <w:pPr>
        <w:pStyle w:val="Heading2"/>
        <w:spacing w:after="150" w:before="300"/>
      </w:pPr>
      <w:r>
        <w:rPr>
          <w:rFonts w:ascii="Arial" w:cs="Arial" w:eastAsia="Arial" w:hAnsi="Arial"/>
          <w:b/>
          <w:bCs/>
          <w:color w:val="2E75B6"/>
          <w:sz w:val="26"/>
          <w:szCs w:val="26"/>
        </w:rPr>
        <w:t xml:space="preserve">9.3. Ulaşım Kararları</w:t>
      </w:r>
    </w:p>
    <w:p>
      <w:pPr>
        <w:spacing w:after="120" w:line="360"/>
        <w:jc w:val="both"/>
      </w:pPr>
      <w:r>
        <w:rPr>
          <w:rFonts w:ascii="Arial" w:cs="Arial" w:eastAsia="Arial" w:hAnsi="Arial"/>
          <w:sz w:val="22"/>
          <w:szCs w:val="22"/>
        </w:rPr>
        <w:t xml:space="preserve">Planlama alanı içerisinde ve çevresinde öngörülen yol genişlikleri: 7 metre (tali yollar), 10 metre (mahalle içi ana yollar), 12 metre (toplayıcı yollar) ve 15 metre (ana arterler) olarak belirlenmiştir. Yol kesitlerinde kaldırım genişlikleri, ağaçlandırma bantları ve bisiklet yolu olanaklarının değerlendirilmesi önerilmektedir.</w:t>
      </w:r>
    </w:p>
    <w:p>
      <w:pPr>
        <w:pStyle w:val="Heading2"/>
        <w:spacing w:after="150" w:before="300"/>
      </w:pPr>
      <w:r>
        <w:rPr>
          <w:rFonts w:ascii="Arial" w:cs="Arial" w:eastAsia="Arial" w:hAnsi="Arial"/>
          <w:b/>
          <w:bCs/>
          <w:color w:val="2E75B6"/>
          <w:sz w:val="26"/>
          <w:szCs w:val="26"/>
        </w:rPr>
        <w:t xml:space="preserve">9.4. Nüfus ve Yoğunluk Hesabı</w:t>
      </w:r>
    </w:p>
    <w:p>
      <w:pPr>
        <w:spacing w:after="120" w:line="360"/>
        <w:jc w:val="both"/>
      </w:pPr>
      <w:r>
        <w:rPr>
          <w:rFonts w:ascii="Arial" w:cs="Arial" w:eastAsia="Arial" w:hAnsi="Arial"/>
          <w:sz w:val="22"/>
          <w:szCs w:val="22"/>
        </w:rPr>
        <w:t xml:space="preserve">Planlama alanındaki konut alanı büyüklüğü ve emsal değerleri üzerinden hesaplanan toplam inşaat alanı ile ortalama daire büyüklüğü dikkate alınarak nüfus hesabı yapılmıştır: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Parametre</w:t>
            </w:r>
          </w:p>
        </w:tc>
        <w:tc>
          <w:tcPr>
            <w:tcW w:type="dxa" w:w="4500"/>
            <w:tcBorders>
              <w:top w:val="single" w:color="999999" w:sz="1"/>
              <w:left w:val="single" w:color="999999" w:sz="1"/>
              <w:bottom w:val="single" w:color="999999" w:sz="1"/>
              <w:right w:val="single" w:color="999999"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Değer</w:t>
            </w:r>
          </w:p>
        </w:tc>
      </w:tr>
      <w:tr>
        <w:tc>
          <w:tcPr>
            <w:tcW w:type="dxa" w:w="4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Toplam Parsel Alanı</w:t>
            </w:r>
          </w:p>
        </w:tc>
        <w:tc>
          <w:tcPr>
            <w:tcW w:type="dxa" w:w="4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8.447 m²</w:t>
            </w:r>
          </w:p>
        </w:tc>
      </w:tr>
      <w:tr>
        <w:tc>
          <w:tcPr>
            <w:tcW w:type="dxa" w:w="4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Emsal (E)</w:t>
            </w:r>
          </w:p>
        </w:tc>
        <w:tc>
          <w:tcPr>
            <w:tcW w:type="dxa" w:w="4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1,20</w:t>
            </w:r>
          </w:p>
        </w:tc>
      </w:tr>
      <w:tr>
        <w:tc>
          <w:tcPr>
            <w:tcW w:type="dxa" w:w="4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Toplam İnşaat Alanı</w:t>
            </w:r>
          </w:p>
        </w:tc>
        <w:tc>
          <w:tcPr>
            <w:tcW w:type="dxa" w:w="4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10.136 m²</w:t>
            </w:r>
          </w:p>
        </w:tc>
      </w:tr>
      <w:tr>
        <w:tc>
          <w:tcPr>
            <w:tcW w:type="dxa" w:w="4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Ortalama Daire Büyüklüğü</w:t>
            </w:r>
          </w:p>
        </w:tc>
        <w:tc>
          <w:tcPr>
            <w:tcW w:type="dxa" w:w="4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120 m²</w:t>
            </w:r>
          </w:p>
        </w:tc>
      </w:tr>
      <w:tr>
        <w:tc>
          <w:tcPr>
            <w:tcW w:type="dxa" w:w="4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Tahmini Daire Sayısı</w:t>
            </w:r>
          </w:p>
        </w:tc>
        <w:tc>
          <w:tcPr>
            <w:tcW w:type="dxa" w:w="4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~84 daire</w:t>
            </w:r>
          </w:p>
        </w:tc>
      </w:tr>
      <w:tr>
        <w:tc>
          <w:tcPr>
            <w:tcW w:type="dxa" w:w="4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Ortalama Hane Halkı</w:t>
            </w:r>
          </w:p>
        </w:tc>
        <w:tc>
          <w:tcPr>
            <w:tcW w:type="dxa" w:w="4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3,2 kişi</w:t>
            </w:r>
          </w:p>
        </w:tc>
      </w:tr>
      <w:tr>
        <w:tc>
          <w:tcPr>
            <w:tcW w:type="dxa" w:w="4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Tahmini Nüfus</w:t>
            </w:r>
          </w:p>
        </w:tc>
        <w:tc>
          <w:tcPr>
            <w:tcW w:type="dxa" w:w="450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~270 kişi</w:t>
            </w:r>
          </w:p>
        </w:tc>
      </w:tr>
    </w:tbl>
    <w:p>
      <w:pPr>
        <w:spacing w:after="200"/>
      </w:pPr>
      <w:r>
        <w:rPr>
          <w:rFonts w:ascii="Arial" w:cs="Arial" w:eastAsia="Arial" w:hAnsi="Arial"/>
          <w:i/>
          <w:iCs/>
          <w:color w:val="666666"/>
          <w:sz w:val="18"/>
          <w:szCs w:val="18"/>
        </w:rPr>
        <w:t xml:space="preserve">Tablo 6: Nüfus ve Yoğunluk Hesabı</w:t>
      </w:r>
    </w:p>
    <w:p>
      <w:r>
        <w:br w:type="page"/>
      </w:r>
    </w:p>
    <w:p>
      <w:pPr>
        <w:pStyle w:val="Heading1"/>
        <w:spacing w:after="200" w:before="400"/>
      </w:pPr>
      <w:r>
        <w:rPr>
          <w:rFonts w:ascii="Arial" w:cs="Arial" w:eastAsia="Arial" w:hAnsi="Arial"/>
          <w:b/>
          <w:bCs/>
          <w:color w:val="1F3864"/>
          <w:sz w:val="32"/>
          <w:szCs w:val="32"/>
        </w:rPr>
        <w:t xml:space="preserve">10. UYGULAMA HÜKÜMLERİ</w:t>
      </w:r>
    </w:p>
    <w:p>
      <w:pPr>
        <w:pStyle w:val="Heading2"/>
        <w:spacing w:after="150" w:before="300"/>
      </w:pPr>
      <w:r>
        <w:rPr>
          <w:rFonts w:ascii="Arial" w:cs="Arial" w:eastAsia="Arial" w:hAnsi="Arial"/>
          <w:b/>
          <w:bCs/>
          <w:color w:val="2E75B6"/>
          <w:sz w:val="26"/>
          <w:szCs w:val="26"/>
        </w:rPr>
        <w:t xml:space="preserve">10.1. Genel Hükümler</w:t>
      </w:r>
    </w:p>
    <w:p>
      <w:pPr>
        <w:spacing w:after="120" w:line="360"/>
        <w:jc w:val="both"/>
      </w:pPr>
      <w:r>
        <w:rPr>
          <w:rFonts w:ascii="Arial" w:cs="Arial" w:eastAsia="Arial" w:hAnsi="Arial"/>
          <w:sz w:val="22"/>
          <w:szCs w:val="22"/>
        </w:rPr>
        <w:t xml:space="preserve">1. Bu plan, 1/25000, 1/5000 ve 1/1000 ölçekli plan paftaları, plan notları ve plan açıklama raporu ile bir bütündür. Uygulamada bu üç belge birlikte kullanılacaktır.</w:t>
      </w:r>
    </w:p>
    <w:p>
      <w:pPr>
        <w:spacing w:after="120" w:line="360"/>
        <w:jc w:val="both"/>
      </w:pPr>
      <w:r>
        <w:rPr>
          <w:rFonts w:ascii="Arial" w:cs="Arial" w:eastAsia="Arial" w:hAnsi="Arial"/>
          <w:sz w:val="22"/>
          <w:szCs w:val="22"/>
        </w:rPr>
        <w:t xml:space="preserve">2. Bu planda belirtilmeyen hususlarda, 3194 sayılı İmar Kanunu, Mekansal Planlar Yapım Yönetmeliği, Planlı Alanlar İmar Yönetmeliği ve Otopark Yönetmeliği hükümleri geçerlidir.</w:t>
      </w:r>
    </w:p>
    <w:p>
      <w:pPr>
        <w:spacing w:after="120" w:line="360"/>
        <w:jc w:val="both"/>
      </w:pPr>
      <w:r>
        <w:rPr>
          <w:rFonts w:ascii="Arial" w:cs="Arial" w:eastAsia="Arial" w:hAnsi="Arial"/>
          <w:sz w:val="22"/>
          <w:szCs w:val="22"/>
        </w:rPr>
        <w:t xml:space="preserve">3. Yapılaşma öncesinde, her parsel için Türkiye Bina Deprem Yönetmeliği (2018) ve ilgili standartlara uygun zemin ve temel etüdü raporu hazırlanması zorunludur.</w:t>
      </w:r>
    </w:p>
    <w:p>
      <w:pPr>
        <w:spacing w:after="120" w:line="360"/>
        <w:jc w:val="both"/>
      </w:pPr>
      <w:r>
        <w:rPr>
          <w:rFonts w:ascii="Arial" w:cs="Arial" w:eastAsia="Arial" w:hAnsi="Arial"/>
          <w:sz w:val="22"/>
          <w:szCs w:val="22"/>
        </w:rPr>
        <w:t xml:space="preserve">4. İnşaat ruhsatı aşamasında, ilgili tüm kurum ve kuruluşlardan (DSİ, TEDAŞ, BASKİ, Koruma Kurulu vb.) görüş alınması gerekmektedir.</w:t>
      </w:r>
    </w:p>
    <w:p>
      <w:pPr>
        <w:spacing w:after="120" w:line="360"/>
        <w:jc w:val="both"/>
      </w:pPr>
      <w:r>
        <w:rPr>
          <w:rFonts w:ascii="Arial" w:cs="Arial" w:eastAsia="Arial" w:hAnsi="Arial"/>
          <w:sz w:val="22"/>
          <w:szCs w:val="22"/>
        </w:rPr>
        <w:t xml:space="preserve">5. Yapıların cephe tasarımında, çevre yapılarla uyum, silüet bütünlüğü ve kentsel estetik değerler dikkate alınacaktır.</w:t>
      </w:r>
    </w:p>
    <w:p>
      <w:pPr>
        <w:pStyle w:val="Heading2"/>
        <w:spacing w:after="150" w:before="300"/>
      </w:pPr>
      <w:r>
        <w:rPr>
          <w:rFonts w:ascii="Arial" w:cs="Arial" w:eastAsia="Arial" w:hAnsi="Arial"/>
          <w:b/>
          <w:bCs/>
          <w:color w:val="2E75B6"/>
          <w:sz w:val="26"/>
          <w:szCs w:val="26"/>
        </w:rPr>
        <w:t xml:space="preserve">10.2. Özel Hükümler</w:t>
      </w:r>
    </w:p>
    <w:p>
      <w:pPr>
        <w:spacing w:after="120" w:line="360"/>
        <w:jc w:val="both"/>
      </w:pPr>
      <w:r>
        <w:rPr>
          <w:rFonts w:ascii="Arial" w:cs="Arial" w:eastAsia="Arial" w:hAnsi="Arial"/>
          <w:sz w:val="22"/>
          <w:szCs w:val="22"/>
        </w:rPr>
        <w:t xml:space="preserve">1. Konut Alanları: Emsal (E) = 1,20, Yençok = 18,00 metre. Minimum parsel büyüklüğü 500 m², minimum parsel cephesi 15 metre olacaktır. Ön bahçe mesafesi 5 metre, yan bahçe mesafesi 3 metre, arka bahçe mesafesi H/2 (minimum 3 metre) olarak uygulanacaktır.</w:t>
      </w:r>
    </w:p>
    <w:p>
      <w:pPr>
        <w:spacing w:after="120" w:line="360"/>
        <w:jc w:val="both"/>
      </w:pPr>
      <w:r>
        <w:rPr>
          <w:rFonts w:ascii="Arial" w:cs="Arial" w:eastAsia="Arial" w:hAnsi="Arial"/>
          <w:sz w:val="22"/>
          <w:szCs w:val="22"/>
        </w:rPr>
        <w:t xml:space="preserve">2. Ticaret+Konut Alanları: Emsal (E) = 1,20, Yençok = 19,40 metre. Zemin katlarda ticaret kullanımı uygulanacak olup, üst katlar konut olarak kullanılacaktır. Minimum parsel büyüklüğü 600 m², minimum cephe genişliği 18 metre olacaktır.</w:t>
      </w:r>
    </w:p>
    <w:p>
      <w:pPr>
        <w:spacing w:after="120" w:line="360"/>
        <w:jc w:val="both"/>
      </w:pPr>
      <w:r>
        <w:rPr>
          <w:rFonts w:ascii="Arial" w:cs="Arial" w:eastAsia="Arial" w:hAnsi="Arial"/>
          <w:sz w:val="22"/>
          <w:szCs w:val="22"/>
        </w:rPr>
        <w:t xml:space="preserve">3. Park Alanları: Aktif yeşil alan olarak düzenlenecek, sosyal donatı elemanları (oturma bankları, çocuk oyun alanı, yürüyüş yolları, spor aletleri) yerleştirilecektir. Park alanlarında Yençok = 6,50 metre olmak üzere, çay bahçesi, kafe gibi kamusal kullanımlar yapılabilir.</w:t>
      </w:r>
    </w:p>
    <w:p>
      <w:pPr>
        <w:spacing w:after="120" w:line="360"/>
        <w:jc w:val="both"/>
      </w:pPr>
      <w:r>
        <w:rPr>
          <w:rFonts w:ascii="Arial" w:cs="Arial" w:eastAsia="Arial" w:hAnsi="Arial"/>
          <w:sz w:val="22"/>
          <w:szCs w:val="22"/>
        </w:rPr>
        <w:t xml:space="preserve">4. Anaokulu Alanı: Milli Eğitim Bakanlığı standartlarına uygun olarak projelendirilecektir. Açık oyun alanı, kapalı etkinlik alanları ve idari birimler yer alacaktır.</w:t>
      </w:r>
    </w:p>
    <w:p>
      <w:pPr>
        <w:spacing w:after="120" w:line="360"/>
        <w:jc w:val="both"/>
      </w:pPr>
      <w:r>
        <w:rPr>
          <w:rFonts w:ascii="Arial" w:cs="Arial" w:eastAsia="Arial" w:hAnsi="Arial"/>
          <w:sz w:val="22"/>
          <w:szCs w:val="22"/>
        </w:rPr>
        <w:t xml:space="preserve">5. Otopark Alanı: Açık otopark olarak düzenlenecek olup, otopark kapasitesi Otopark Yönetmeliği'ne uygun olarak hesaplanacaktır.</w:t>
      </w:r>
    </w:p>
    <w:p>
      <w:r>
        <w:br w:type="page"/>
      </w:r>
    </w:p>
    <w:p>
      <w:pPr>
        <w:pStyle w:val="Heading1"/>
        <w:spacing w:after="200" w:before="400"/>
      </w:pPr>
      <w:r>
        <w:rPr>
          <w:rFonts w:ascii="Arial" w:cs="Arial" w:eastAsia="Arial" w:hAnsi="Arial"/>
          <w:b/>
          <w:bCs/>
          <w:color w:val="1F3864"/>
          <w:sz w:val="32"/>
          <w:szCs w:val="32"/>
        </w:rPr>
        <w:t xml:space="preserve">11. SONUÇ VE ÖNERİLER</w:t>
      </w:r>
    </w:p>
    <w:p>
      <w:pPr>
        <w:pStyle w:val="Heading2"/>
        <w:spacing w:after="150" w:before="300"/>
      </w:pPr>
      <w:r>
        <w:rPr>
          <w:rFonts w:ascii="Arial" w:cs="Arial" w:eastAsia="Arial" w:hAnsi="Arial"/>
          <w:b/>
          <w:bCs/>
          <w:color w:val="2E75B6"/>
          <w:sz w:val="26"/>
          <w:szCs w:val="26"/>
        </w:rPr>
        <w:t xml:space="preserve">11.1. Genel Değerlendirme</w:t>
      </w:r>
    </w:p>
    <w:p>
      <w:pPr>
        <w:spacing w:after="120" w:line="360"/>
        <w:jc w:val="both"/>
      </w:pPr>
      <w:r>
        <w:rPr>
          <w:rFonts w:ascii="Arial" w:cs="Arial" w:eastAsia="Arial" w:hAnsi="Arial"/>
          <w:sz w:val="22"/>
          <w:szCs w:val="22"/>
        </w:rPr>
        <w:t xml:space="preserve">Bu rapor kapsamında, Balıkesir İli Burhaniye İlçesi Memiş Mahallesi 34 Ada 5 Parsel ve çevresine ilişkin kapsamlı bir araştırma ve analiz çalışması gerçekleştirilmiştir. Doğal yapı, yapay çevre, sosyo-ekonomik yapı, ulaşım ve altyapı, afet riskleri, tarihi ve kültürel değerler ile mülkiyet yapısı analiz edilerek, plan kararlarına altlık oluşturacak sentez çalışması tamamlanmıştır.</w:t>
      </w:r>
    </w:p>
    <w:p>
      <w:pPr>
        <w:spacing w:after="120" w:line="360"/>
        <w:jc w:val="both"/>
      </w:pPr>
      <w:r>
        <w:rPr>
          <w:rFonts w:ascii="Arial" w:cs="Arial" w:eastAsia="Arial" w:hAnsi="Arial"/>
          <w:sz w:val="22"/>
          <w:szCs w:val="22"/>
        </w:rPr>
        <w:t xml:space="preserve">Araştırma sonuçları, planlama alanının konut ağırlıklı karma kullanım fonksiyonuna uygun olduğunu, ancak deprem riski ve zemin koşulları nedeniyle yapılaşma sürecinde özel önlemlerin alınması gerektiğini ortaya koymaktadır. Emsal (E) = 1,20 ve Yençok = 18,00-19,40 metre olarak belirlenen yapılaşma koşulları, bölgenin mevcut kentsel dokusuna uygun, yaşanabilir ve sürdürülebilir bir yerleşim alanı oluşturulmasına yöneliktir.</w:t>
      </w:r>
    </w:p>
    <w:p>
      <w:pPr>
        <w:pStyle w:val="Heading2"/>
        <w:spacing w:after="150" w:before="300"/>
      </w:pPr>
      <w:r>
        <w:rPr>
          <w:rFonts w:ascii="Arial" w:cs="Arial" w:eastAsia="Arial" w:hAnsi="Arial"/>
          <w:b/>
          <w:bCs/>
          <w:color w:val="2E75B6"/>
          <w:sz w:val="26"/>
          <w:szCs w:val="26"/>
        </w:rPr>
        <w:t xml:space="preserve">11.2. Öneriler</w:t>
      </w:r>
    </w:p>
    <w:p>
      <w:pPr>
        <w:spacing w:after="120" w:line="360"/>
        <w:jc w:val="both"/>
      </w:pPr>
      <w:r>
        <w:rPr>
          <w:rFonts w:ascii="Arial" w:cs="Arial" w:eastAsia="Arial" w:hAnsi="Arial"/>
          <w:sz w:val="22"/>
          <w:szCs w:val="22"/>
        </w:rPr>
        <w:t xml:space="preserve">1. Yapılaşma öncesinde, parsel bazında detaylı zemin etüdü yapılması ve sıvılaşma analizinin gerçekleştirilmesi şarttır.</w:t>
      </w:r>
    </w:p>
    <w:p>
      <w:pPr>
        <w:spacing w:after="120" w:line="360"/>
        <w:jc w:val="both"/>
      </w:pPr>
      <w:r>
        <w:rPr>
          <w:rFonts w:ascii="Arial" w:cs="Arial" w:eastAsia="Arial" w:hAnsi="Arial"/>
          <w:sz w:val="22"/>
          <w:szCs w:val="22"/>
        </w:rPr>
        <w:t xml:space="preserve">2. Depreme dayanıklı yapı tasarımı ilkelerinin titizlikle uygulanması ve yapı denetim sürecinin etkin bir şekilde yürütülmesi gerekmektedir.</w:t>
      </w:r>
    </w:p>
    <w:p>
      <w:pPr>
        <w:spacing w:after="120" w:line="360"/>
        <w:jc w:val="both"/>
      </w:pPr>
      <w:r>
        <w:rPr>
          <w:rFonts w:ascii="Arial" w:cs="Arial" w:eastAsia="Arial" w:hAnsi="Arial"/>
          <w:sz w:val="22"/>
          <w:szCs w:val="22"/>
        </w:rPr>
        <w:t xml:space="preserve">3. Yağmur suyu drenaj sistemlerinin, iklim değişikliği kaynaklı şiddetli yağış senaryoları dikkate alınarak boyutlandırılması önerilmektedir.</w:t>
      </w:r>
    </w:p>
    <w:p>
      <w:pPr>
        <w:spacing w:after="120" w:line="360"/>
        <w:jc w:val="both"/>
      </w:pPr>
      <w:r>
        <w:rPr>
          <w:rFonts w:ascii="Arial" w:cs="Arial" w:eastAsia="Arial" w:hAnsi="Arial"/>
          <w:sz w:val="22"/>
          <w:szCs w:val="22"/>
        </w:rPr>
        <w:t xml:space="preserve">4. Park ve yeşil alanlarda, bölgenin iklim koşullarına uygun, kuraklığa dayanıklı peyzaj bitkilerinin tercih edilmesi önerilmektedir.</w:t>
      </w:r>
    </w:p>
    <w:p>
      <w:pPr>
        <w:spacing w:after="120" w:line="360"/>
        <w:jc w:val="both"/>
      </w:pPr>
      <w:r>
        <w:rPr>
          <w:rFonts w:ascii="Arial" w:cs="Arial" w:eastAsia="Arial" w:hAnsi="Arial"/>
          <w:sz w:val="22"/>
          <w:szCs w:val="22"/>
        </w:rPr>
        <w:t xml:space="preserve">5. Yapılaşma sürecinde, enerji verimliliği ilkelerinin uygulanması, güneş enerjisi kullanımının teşvik edilmesi ve yeşil bina standartlarının gözetilmesi tavsiye edilmektedir.</w:t>
      </w:r>
    </w:p>
    <w:p>
      <w:pPr>
        <w:spacing w:after="120" w:line="360"/>
        <w:jc w:val="both"/>
      </w:pPr>
      <w:r>
        <w:rPr>
          <w:rFonts w:ascii="Arial" w:cs="Arial" w:eastAsia="Arial" w:hAnsi="Arial"/>
          <w:sz w:val="22"/>
          <w:szCs w:val="22"/>
        </w:rPr>
        <w:t xml:space="preserve">6. Ulaşım planlamasında, yaya ve bisiklet ulaşımının desteklenmesi, engelsiz erişimin sağlanması ve toplu taşıma bağlantılarının güçlendirilmesi hedeflenmelidir.</w:t>
      </w:r>
    </w:p>
    <w:p>
      <w:pPr>
        <w:spacing w:after="120" w:line="360"/>
        <w:jc w:val="both"/>
      </w:pPr>
      <w:r>
        <w:rPr>
          <w:rFonts w:ascii="Arial" w:cs="Arial" w:eastAsia="Arial" w:hAnsi="Arial"/>
          <w:sz w:val="22"/>
          <w:szCs w:val="22"/>
        </w:rPr>
        <w:t xml:space="preserve">7. İnşaat sırasında herhangi bir arkeolojik buluntuya rastlanması halinde, ilgili Koruma Bölge Kurulu'na derhal bilgi verilmesi zorunludur.</w:t>
      </w:r>
    </w:p>
    <w:p>
      <w:pPr>
        <w:spacing w:after="120" w:line="360"/>
        <w:jc w:val="both"/>
      </w:pPr>
      <w:r>
        <w:rPr>
          <w:rFonts w:ascii="Arial" w:cs="Arial" w:eastAsia="Arial" w:hAnsi="Arial"/>
          <w:sz w:val="22"/>
          <w:szCs w:val="22"/>
        </w:rPr>
        <w:t xml:space="preserve">8. Planın uygulanma sürecinin düzenli olarak izlenmesi ve gerektiğinde plan kararlarının güncellenmesi için bir izleme-değerlendirme mekanizmasının oluşturulması önerilmektedir.</w:t>
      </w:r>
    </w:p>
    <w:sectPr>
      <w:headerReference w:type="default" r:id="rId7"/>
      <w:footerReference w:type="default" r:id="rId8"/>
      <w:pgSz w:w="11906" w:h="16838"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Artline Proje | Sayfa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Burhaniye Memiş Mah. 34 Ada 5 Parsel - İmar Planı Açıklama Raporu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3864"/>
      <w:sz w:val="32"/>
      <w:szCs w:val="32"/>
    </w:rPr>
  </w:style>
  <w:style w:type="paragraph" w:styleId="Heading2">
    <w:name w:val="Heading 2"/>
    <w:basedOn w:val="Normal"/>
    <w:next w:val="Normal"/>
    <w:qFormat/>
    <w:pPr>
      <w:spacing w:after="150" w:before="30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2026-04-17T10:43:12.934Z</dcterms:created>
  <dcterms:modified xsi:type="dcterms:W3CDTF">2026-04-17T10:43:12.935Z</dcterms:modified>
</cp:coreProperties>
</file>

<file path=docProps/custom.xml><?xml version="1.0" encoding="utf-8"?>
<Properties xmlns="http://schemas.openxmlformats.org/officeDocument/2006/custom-properties" xmlns:vt="http://schemas.openxmlformats.org/officeDocument/2006/docPropsVTypes"/>
</file>