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2a4ce03a21cc3399995c4043b16fa3dd3588af6"/>
      <w:r>
        <w:t xml:space="preserve">Calculating the excitation energies for the wobbling spectra of</w:t>
      </w:r>
      <w:r>
        <w:t xml:space="preserve"> </w:t>
      </w:r>
      <m:oMath>
        <m:sSup>
          <m:e>
            <m:r>
              <m:t>​</m:t>
            </m:r>
          </m:e>
          <m:sup>
            <m:r>
              <m:t>135</m:t>
            </m:r>
          </m:sup>
        </m:sSup>
      </m:oMath>
      <w:r>
        <w:t xml:space="preserve">Pr</w:t>
      </w:r>
      <w:bookmarkEnd w:id="20"/>
    </w:p>
    <w:p>
      <w:pPr>
        <w:pStyle w:val="FirstParagraph"/>
      </w:pPr>
      <w:r>
        <w:t xml:space="preserve">Author: Robert Poenaru</w:t>
      </w:r>
    </w:p>
    <w:p>
      <w:pPr>
        <w:pStyle w:val="BodyText"/>
      </w:pPr>
      <w:r>
        <w:t xml:space="preserve">E-mail: robert.poenaru@drd.unibuc.ro</w:t>
      </w:r>
    </w:p>
    <w:p>
      <w:pPr>
        <w:numPr>
          <w:ilvl w:val="0"/>
          <w:numId w:val="1001"/>
        </w:numPr>
        <w:pStyle w:val="Compact"/>
      </w:pPr>
      <w:hyperlink w:anchor="Xb534a15994a0325a5450200ca0674bd240ba93a">
        <w:r>
          <w:rPr>
            <w:rStyle w:val="Hyperlink"/>
          </w:rPr>
          <w:t xml:space="preserve">Calculating the excitation energies for the wobbling spectra of</w:t>
        </w:r>
        <w:r>
          <w:rPr>
            <w:rStyle w:val="Hyperlink"/>
          </w:rPr>
          <w:t xml:space="preserve"> </w:t>
        </w:r>
        <m:oMath>
          <m:sSup>
            <m:e>
              <m:r>
                <m:t>​</m:t>
              </m:r>
            </m:e>
            <m:sup>
              <m:r>
                <m:t>135</m:t>
              </m:r>
            </m:sup>
          </m:sSup>
        </m:oMath>
        <w:r>
          <w:rPr>
            <w:rStyle w:val="Hyperlink"/>
          </w:rPr>
          <w:t xml:space="preserve">Pr</w:t>
        </w:r>
      </w:hyperlink>
    </w:p>
    <w:p>
      <w:pPr>
        <w:numPr>
          <w:ilvl w:val="1"/>
          <w:numId w:val="1002"/>
        </w:numPr>
        <w:pStyle w:val="Compact"/>
      </w:pPr>
      <w:hyperlink w:anchor="X58c6beee1cc16fbf5d6fe7baca470829bbc3ae5">
        <w:r>
          <w:rPr>
            <w:rStyle w:val="Hyperlink"/>
          </w:rPr>
          <w:t xml:space="preserve">Least-squares-fit procedure for getting the</w:t>
        </w:r>
        <w:r>
          <w:rPr>
            <w:rStyle w:val="Hyperlink"/>
          </w:rPr>
          <w:t xml:space="preserve"> </w:t>
        </w:r>
        <m:oMath>
          <m:sSub>
            <m:e>
              <m:r>
                <m:t>E</m:t>
              </m:r>
            </m:e>
            <m:sub>
              <m:r>
                <m:rPr>
                  <m:nor/>
                  <m:sty m:val="p"/>
                </m:rPr>
                <m:t>RMS</m:t>
              </m:r>
            </m:sub>
          </m:sSub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the free parameters</w:t>
        </w:r>
      </w:hyperlink>
    </w:p>
    <w:p>
      <w:pPr>
        <w:numPr>
          <w:ilvl w:val="1"/>
          <w:numId w:val="1002"/>
        </w:numPr>
        <w:pStyle w:val="Compact"/>
      </w:pPr>
      <w:hyperlink w:anchor="details-on-the-problem">
        <w:r>
          <w:rPr>
            <w:rStyle w:val="Hyperlink"/>
          </w:rPr>
          <w:t xml:space="preserve">Details on the problem</w:t>
        </w:r>
      </w:hyperlink>
    </w:p>
    <w:p>
      <w:pPr>
        <w:numPr>
          <w:ilvl w:val="1"/>
          <w:numId w:val="1002"/>
        </w:numPr>
        <w:pStyle w:val="Compact"/>
      </w:pPr>
      <w:hyperlink w:anchor="structure-of-the-code">
        <w:r>
          <w:rPr>
            <w:rStyle w:val="Hyperlink"/>
          </w:rPr>
          <w:t xml:space="preserve">Structure of the code</w:t>
        </w:r>
      </w:hyperlink>
    </w:p>
    <w:p>
      <w:pPr>
        <w:numPr>
          <w:ilvl w:val="2"/>
          <w:numId w:val="1003"/>
        </w:numPr>
        <w:pStyle w:val="Compact"/>
      </w:pPr>
      <w:hyperlink w:anchor="time-measurement">
        <w:r>
          <w:rPr>
            <w:rStyle w:val="Hyperlink"/>
          </w:rPr>
          <w:t xml:space="preserve">Time measurement</w:t>
        </w:r>
      </w:hyperlink>
    </w:p>
    <w:p>
      <w:pPr>
        <w:numPr>
          <w:ilvl w:val="1"/>
          <w:numId w:val="1002"/>
        </w:numPr>
        <w:pStyle w:val="Compact"/>
      </w:pPr>
      <w:hyperlink w:anchor="potential-fit-results">
        <w:r>
          <w:rPr>
            <w:rStyle w:val="Hyperlink"/>
          </w:rPr>
          <w:t xml:space="preserve">Potential fit results</w:t>
        </w:r>
      </w:hyperlink>
    </w:p>
    <w:p>
      <w:pPr>
        <w:numPr>
          <w:ilvl w:val="1"/>
          <w:numId w:val="1002"/>
        </w:numPr>
        <w:pStyle w:val="Compact"/>
      </w:pPr>
      <w:hyperlink w:anchor="observation">
        <w:r>
          <w:rPr>
            <w:rStyle w:val="Hyperlink"/>
          </w:rPr>
          <w:t xml:space="preserve">Observation:</w:t>
        </w:r>
      </w:hyperlink>
    </w:p>
    <w:p>
      <w:pPr>
        <w:numPr>
          <w:ilvl w:val="1"/>
          <w:numId w:val="1002"/>
        </w:numPr>
        <w:pStyle w:val="Compact"/>
      </w:pPr>
      <w:hyperlink w:anchor="potential-fix-for-the-chiral-frequencies">
        <w:r>
          <w:rPr>
            <w:rStyle w:val="Hyperlink"/>
          </w:rPr>
          <w:t xml:space="preserve">Potential fix for the chiral frequencies</w:t>
        </w:r>
      </w:hyperlink>
    </w:p>
    <w:p>
      <w:pPr>
        <w:numPr>
          <w:ilvl w:val="2"/>
          <w:numId w:val="1004"/>
        </w:numPr>
        <w:pStyle w:val="Compact"/>
      </w:pPr>
      <w:hyperlink w:anchor="X0decd09c7d823e22dca195ec57400217a396a4f">
        <w:r>
          <w:rPr>
            <w:rStyle w:val="Hyperlink"/>
          </w:rPr>
          <w:t xml:space="preserve">New method for returning the wobbling frequency</w:t>
        </w:r>
      </w:hyperlink>
    </w:p>
    <w:p>
      <w:pPr>
        <w:numPr>
          <w:ilvl w:val="1"/>
          <w:numId w:val="1002"/>
        </w:numPr>
        <w:pStyle w:val="Compact"/>
      </w:pPr>
      <w:hyperlink w:anchor="X2f1563c226fe5ef6dd193d77f6c37249d552182">
        <w:r>
          <w:rPr>
            <w:rStyle w:val="Hyperlink"/>
          </w:rPr>
          <w:t xml:space="preserve">Partial results from the fast-mode data fit</w:t>
        </w:r>
      </w:hyperlink>
    </w:p>
    <w:p>
      <w:pPr>
        <w:pStyle w:val="Heading2"/>
      </w:pPr>
      <w:bookmarkStart w:id="21" w:name="X7013da5328e28d33810953fb7adc4d76170dabd"/>
      <w:r>
        <w:t xml:space="preserve">Least-squares-fit procedure for getting the</w:t>
      </w:r>
      <w:r>
        <w:t xml:space="preserve"> </w:t>
      </w:r>
      <m:oMath>
        <m:sSub>
          <m:e>
            <m:r>
              <m:t>E</m:t>
            </m:r>
          </m:e>
          <m:sub>
            <m:r>
              <m:rPr>
                <m:nor/>
                <m:sty m:val="p"/>
              </m:rPr>
              <m:t>RMS</m:t>
            </m:r>
          </m:sub>
        </m:sSub>
      </m:oMath>
      <w:r>
        <w:t xml:space="preserve"> </w:t>
      </w:r>
      <w:r>
        <w:t xml:space="preserve">and the free parameters</w:t>
      </w:r>
      <w:bookmarkEnd w:id="21"/>
    </w:p>
    <w:p>
      <w:pPr>
        <w:pStyle w:val="Heading2"/>
      </w:pPr>
      <w:bookmarkStart w:id="22" w:name="details-on-the-problem"/>
      <w:r>
        <w:t xml:space="preserve">Details on the problem</w:t>
      </w:r>
      <w:bookmarkEnd w:id="22"/>
    </w:p>
    <w:p>
      <w:pPr>
        <w:numPr>
          <w:ilvl w:val="0"/>
          <w:numId w:val="1005"/>
        </w:numPr>
        <w:pStyle w:val="Compact"/>
      </w:pPr>
      <w:r>
        <w:t xml:space="preserve">The model has 5 free parameters:</w:t>
      </w:r>
    </w:p>
    <w:p>
      <w:pPr>
        <w:numPr>
          <w:ilvl w:val="1"/>
          <w:numId w:val="1006"/>
        </w:numPr>
        <w:pStyle w:val="Compact"/>
      </w:pPr>
      <w:r>
        <w:t xml:space="preserve">3 inertia factors: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3</m:t>
            </m:r>
          </m:sub>
        </m:sSub>
      </m:oMath>
    </w:p>
    <w:p>
      <w:pPr>
        <w:numPr>
          <w:ilvl w:val="1"/>
          <w:numId w:val="1006"/>
        </w:numPr>
        <w:pStyle w:val="Compact"/>
      </w:pPr>
      <w:r>
        <w:t xml:space="preserve">the single particle potential strength</w:t>
      </w:r>
      <w:r>
        <w:t xml:space="preserve"> </w:t>
      </w:r>
      <m:oMath>
        <m:r>
          <m:t>V</m:t>
        </m:r>
      </m:oMath>
    </w:p>
    <w:p>
      <w:pPr>
        <w:numPr>
          <w:ilvl w:val="1"/>
          <w:numId w:val="1006"/>
        </w:numPr>
        <w:pStyle w:val="Compact"/>
      </w:pPr>
      <w:r>
        <w:t xml:space="preserve">the coupling angle</w:t>
      </w:r>
      <w:r>
        <w:t xml:space="preserve"> </w:t>
      </w:r>
      <m:oMath>
        <m:r>
          <m:t>θ</m:t>
        </m:r>
      </m:oMath>
    </w:p>
    <w:p>
      <w:pPr>
        <w:numPr>
          <w:ilvl w:val="0"/>
          <w:numId w:val="1005"/>
        </w:numPr>
        <w:pStyle w:val="Compact"/>
      </w:pPr>
      <w:r>
        <w:t xml:space="preserve">The experimental data set contains:</w:t>
      </w:r>
    </w:p>
    <w:p>
      <w:pPr>
        <w:numPr>
          <w:ilvl w:val="1"/>
          <w:numId w:val="1007"/>
        </w:numPr>
        <w:pStyle w:val="Compact"/>
      </w:pPr>
      <w:r>
        <w:t xml:space="preserve">The yrast band Y0</w:t>
      </w:r>
    </w:p>
    <w:p>
      <w:pPr>
        <w:numPr>
          <w:ilvl w:val="1"/>
          <w:numId w:val="1007"/>
        </w:numPr>
        <w:pStyle w:val="Compact"/>
      </w:pPr>
      <w:r>
        <w:t xml:space="preserve">The</w:t>
      </w:r>
      <w:r>
        <w:t xml:space="preserve"> </w:t>
      </w:r>
      <w:r>
        <w:rPr>
          <w:i/>
        </w:rPr>
        <w:t xml:space="preserve">one-phonon</w:t>
      </w:r>
      <w:r>
        <w:t xml:space="preserve"> </w:t>
      </w:r>
      <w:r>
        <w:t xml:space="preserve">wobbling band TW1</w:t>
      </w:r>
    </w:p>
    <w:p>
      <w:pPr>
        <w:numPr>
          <w:ilvl w:val="1"/>
          <w:numId w:val="1007"/>
        </w:numPr>
        <w:pStyle w:val="Compact"/>
      </w:pPr>
      <w:r>
        <w:t xml:space="preserve">The (new)</w:t>
      </w:r>
      <w:r>
        <w:t xml:space="preserve"> </w:t>
      </w:r>
      <w:r>
        <w:rPr>
          <w:i/>
        </w:rPr>
        <w:t xml:space="preserve">two-phonon</w:t>
      </w:r>
      <w:r>
        <w:t xml:space="preserve"> </w:t>
      </w:r>
      <w:r>
        <w:t xml:space="preserve">wobbling band TW2. Experimentally confirmed in the recent work of Sensharma et al.</w:t>
      </w:r>
      <w:r>
        <w:rPr>
          <w:rStyle w:val="FootnoteReference"/>
        </w:rPr>
        <w:footnoteReference w:id="23"/>
      </w:r>
    </w:p>
    <w:p>
      <w:pPr>
        <w:pStyle w:val="Heading2"/>
      </w:pPr>
      <w:bookmarkStart w:id="24" w:name="structure-of-the-code"/>
      <w:r>
        <w:t xml:space="preserve">Structure of the code</w:t>
      </w:r>
      <w:bookmarkEnd w:id="24"/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project is structured as follows:</w:t>
      </w:r>
    </w:p>
    <w:p>
      <w:pPr>
        <w:numPr>
          <w:ilvl w:val="0"/>
          <w:numId w:val="1008"/>
        </w:numPr>
        <w:pStyle w:val="Compact"/>
      </w:pPr>
      <w:r>
        <w:t xml:space="preserve">The</w:t>
      </w:r>
      <w:r>
        <w:t xml:space="preserve"> </w:t>
      </w:r>
      <w:r>
        <w:rPr>
          <w:b/>
        </w:rPr>
        <w:t xml:space="preserve">include</w:t>
      </w:r>
      <w:r>
        <w:t xml:space="preserve"> </w:t>
      </w:r>
      <w:r>
        <w:t xml:space="preserve">folder has the necessary header files for serving the experimental data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energyFormulas.h</w:t>
      </w:r>
      <w:r>
        <w:t xml:space="preserve"> </w:t>
      </w:r>
      <w:r>
        <w:t xml:space="preserve">- Calculating the energies for each band (numerical expressions) as a function of the input parameters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expData.h</w:t>
      </w:r>
      <w:r>
        <w:t xml:space="preserve"> </w:t>
      </w:r>
      <w:r>
        <w:t xml:space="preserve">- Serves the experimental data to the main algorithm. Experimental data consists in the energy states for the three triaxial bands (namely Y0,TW1 and TW2). Units are in MeV (if not, a transformation method will be provided in the header).</w:t>
      </w:r>
      <w:r>
        <w:t xml:space="preserve"> </w:t>
      </w:r>
      <w:r>
        <w:rPr>
          <w:b/>
        </w:rPr>
        <w:t xml:space="preserve">Algorithm works with EXCITATION energies</w:t>
      </w:r>
      <w:r>
        <w:t xml:space="preserve">. So the first state from Y0 will be subtracted.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fitProcedure.h</w:t>
      </w:r>
      <w:r>
        <w:t xml:space="preserve"> </w:t>
      </w:r>
      <w:r>
        <w:t xml:space="preserve">- The methods for calculating an RMS as a function of the free parameters and also a minimization procedure to find the best RMS value.</w:t>
      </w:r>
    </w:p>
    <w:p>
      <w:pPr>
        <w:numPr>
          <w:ilvl w:val="0"/>
          <w:numId w:val="1008"/>
        </w:numPr>
        <w:pStyle w:val="Compact"/>
      </w:pPr>
      <w:r>
        <w:t xml:space="preserve">The</w:t>
      </w:r>
      <w:r>
        <w:t xml:space="preserve"> </w:t>
      </w:r>
      <w:r>
        <w:rPr>
          <w:b/>
        </w:rPr>
        <w:t xml:space="preserve">cc</w:t>
      </w:r>
      <w:r>
        <w:t xml:space="preserve"> </w:t>
      </w:r>
      <w:r>
        <w:t xml:space="preserve">directory which includes: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energyFormulas.cpp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main.cpp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fitProcedure.cpp</w:t>
      </w:r>
    </w:p>
    <w:p>
      <w:pPr>
        <w:pStyle w:val="FirstParagraph"/>
      </w:pPr>
      <w:r>
        <w:t xml:space="preserve">### Time measurement</w:t>
      </w:r>
    </w:p>
    <w:p>
      <w:pPr>
        <w:pStyle w:val="BodyText"/>
      </w:pPr>
      <w:r>
        <w:t xml:space="preserve">The main</w:t>
      </w:r>
      <w:r>
        <w:t xml:space="preserve"> </w:t>
      </w:r>
      <w:r>
        <w:rPr>
          <w:rStyle w:val="VerbatimChar"/>
        </w:rPr>
        <w:t xml:space="preserve">Fit</w:t>
      </w:r>
      <w:r>
        <w:t xml:space="preserve"> </w:t>
      </w:r>
      <w:r>
        <w:t xml:space="preserve">class has an instrument for measuring the time execution of any object which is instantiated by the user through a smart point (i.e. </w:t>
      </w:r>
      <w:r>
        <w:rPr>
          <w:i/>
        </w:rPr>
        <w:t xml:space="preserve">unique pointer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shared pointer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make_unique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make_shared</w:t>
      </w:r>
    </w:p>
    <w:p>
      <w:pPr>
        <w:pStyle w:val="FirstParagraph"/>
      </w:pPr>
      <w:r>
        <w:t xml:space="preserve">The class</w:t>
      </w:r>
      <w:r>
        <w:t xml:space="preserve"> </w:t>
      </w:r>
      <w:r>
        <w:rPr>
          <w:rStyle w:val="VerbatimChar"/>
        </w:rPr>
        <w:t xml:space="preserve">Fit</w:t>
      </w:r>
      <w:r>
        <w:t xml:space="preserve"> </w:t>
      </w:r>
      <w:r>
        <w:t xml:space="preserve">-&gt; private variable to store the start point (when object is created via the default constructed).</w:t>
      </w:r>
      <w:r>
        <w:t xml:space="preserve"> </w:t>
      </w:r>
      <w:r>
        <w:t xml:space="preserve">The method</w:t>
      </w:r>
      <w:r>
        <w:t xml:space="preserve"> </w:t>
      </w:r>
      <w:r>
        <w:rPr>
          <w:rStyle w:val="VerbatimChar"/>
        </w:rPr>
        <w:t xml:space="preserve">measureTime()</w:t>
      </w:r>
      <w:r>
        <w:t xml:space="preserve"> </w:t>
      </w:r>
      <w:r>
        <w:t xml:space="preserve">gives the total execution time of the class object on the main thread when it stops (through the default destructor).</w:t>
      </w:r>
    </w:p>
    <w:p>
      <w:pPr>
        <w:pStyle w:val="Heading2"/>
      </w:pPr>
      <w:bookmarkStart w:id="25" w:name="potential-fit-results"/>
      <w:r>
        <w:t xml:space="preserve">Potential fit results</w:t>
      </w:r>
      <w:bookmarkEnd w:id="25"/>
    </w:p>
    <w:p>
      <w:pPr>
        <w:pStyle w:val="FirstParagraph"/>
      </w:pPr>
      <w:r>
        <w:drawing>
          <wp:inline>
            <wp:extent cx="5334000" cy="26090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asavyr/Pipeline/DFT/Pd135_ian2019/code/pr135_EnergyFit_TW1TW2/reports/images/2020-03-20-12-39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are the fit parameters obtained within the new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algorithm which includes the confirmed two-phonon wobbling band</w:t>
      </w:r>
      <w:r>
        <w:t xml:space="preserve"> </w:t>
      </w:r>
      <w:r>
        <w:rPr>
          <w:rStyle w:val="VerbatimChar"/>
        </w:rPr>
        <w:t xml:space="preserve">TW2</w:t>
      </w:r>
      <w:r>
        <w:t xml:space="preserve">.</w:t>
      </w:r>
    </w:p>
    <w:p>
      <w:pPr>
        <w:pStyle w:val="BodyText"/>
      </w:pPr>
      <w:r>
        <w:t xml:space="preserve">Searching for the best RMS finished…</w:t>
      </w:r>
      <w:r>
        <w:br/>
      </w:r>
      <w:r>
        <w:t xml:space="preserve">Total number of iterations= 793117000</w:t>
      </w:r>
      <w:r>
        <w:br/>
      </w:r>
      <w:r>
        <w:t xml:space="preserve">BEST RESULTS FOR THE THREE BANDS ARE:</w:t>
      </w:r>
      <w:r>
        <w:br/>
      </w:r>
      <w:r>
        <w:t xml:space="preserve">I1 I2 I3 THETA</w:t>
      </w:r>
      <w:r>
        <w:br/>
      </w:r>
      <w:r>
        <w:t xml:space="preserve">89 12 48 -71</w:t>
      </w:r>
      <w:r>
        <w:br/>
      </w:r>
      <w:r>
        <w:t xml:space="preserve">ENERGY RMS:</w:t>
      </w:r>
      <w:r>
        <w:br/>
      </w:r>
      <w:r>
        <w:t xml:space="preserve">0.174452</w:t>
      </w:r>
    </w:p>
    <w:p>
      <w:pPr>
        <w:pStyle w:val="Heading2"/>
      </w:pPr>
      <w:bookmarkStart w:id="27" w:name="observation"/>
      <w:r>
        <w:t xml:space="preserve">Observation:</w:t>
      </w:r>
      <w:bookmarkEnd w:id="27"/>
    </w:p>
    <w:p>
      <w:pPr>
        <w:pStyle w:val="FirstParagraph"/>
      </w:pPr>
      <w:r>
        <w:t xml:space="preserve">It seems that for the obtained fit parameters, the wobbling frequencies calculated for a chiral transformation (i.e. rotated system with an angle</w:t>
      </w:r>
      <w:r>
        <w:t xml:space="preserve"> </w:t>
      </w:r>
      <m:oMath>
        <m:r>
          <m:t>π</m:t>
        </m:r>
      </m:oMath>
      <w:r>
        <w:t xml:space="preserve">), the quantity under the square root in the expression of</w:t>
      </w:r>
      <w:r>
        <w:t xml:space="preserve"> </w:t>
      </w:r>
      <m:oMath>
        <m:sSup>
          <m:e>
            <m:r>
              <m:t>ω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becomes negative, which results in a</w:t>
      </w:r>
      <w:r>
        <w:t xml:space="preserve"> </w:t>
      </w:r>
      <w:r>
        <w:rPr>
          <w:b/>
        </w:rPr>
        <w:t xml:space="preserve">complex value</w:t>
      </w:r>
      <w:r>
        <w:t xml:space="preserve"> </w:t>
      </w:r>
      <w:r>
        <w:t xml:space="preserve">&gt;</w:t>
      </w:r>
      <w:r>
        <w:t xml:space="preserve"> </w:t>
      </w:r>
      <w:r>
        <w:rPr>
          <w:b/>
        </w:rPr>
        <w:t xml:space="preserve">For these parameters, small spins might provide non-physical solutions!</w:t>
      </w:r>
    </w:p>
    <w:p>
      <w:pPr>
        <w:pStyle w:val="Heading2"/>
      </w:pPr>
      <w:bookmarkStart w:id="28" w:name="potential-fix-for-the-chiral-frequencies"/>
      <w:r>
        <w:t xml:space="preserve">Potential fix for the chiral frequencies</w:t>
      </w:r>
      <w:bookmarkEnd w:id="28"/>
    </w:p>
    <w:p>
      <w:pPr>
        <w:pStyle w:val="FirstParagraph"/>
      </w:pPr>
      <w:r>
        <w:t xml:space="preserve">The wobbling frequency calculated by the current algorithm has only one value which depends on the coupling angle</w:t>
      </w:r>
      <w:r>
        <w:t xml:space="preserve"> </w:t>
      </w:r>
      <m:oMath>
        <m:r>
          <m:t>θ</m:t>
        </m:r>
      </m:oMath>
      <w:r>
        <w:t xml:space="preserve">.</w:t>
      </w:r>
      <w:r>
        <w:br/>
      </w:r>
      <w:r>
        <w:t xml:space="preserve">However, this wobbling frequency has a</w:t>
      </w:r>
      <w:r>
        <w:t xml:space="preserve"> </w:t>
      </w:r>
      <w:r>
        <w:rPr>
          <w:i/>
        </w:rPr>
        <w:t xml:space="preserve">chiral</w:t>
      </w:r>
      <w:r>
        <w:t xml:space="preserve"> </w:t>
      </w:r>
      <w:r>
        <w:t xml:space="preserve">partner, defined by the geometrical rotation with the angle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around the quantization axis. So, having the normal mode wobbling frequency</w:t>
      </w:r>
      <w:r>
        <w:t xml:space="preserve"> </w:t>
      </w:r>
      <m:oMath>
        <m:sSub>
          <m:e>
            <m:r>
              <m:t>ω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will result in the chiral partner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ω</m:t>
              </m:r>
            </m:e>
            <m:sup>
              <m:r>
                <m:rPr>
                  <m:nor/>
                  <m:sty m:val="p"/>
                </m:rPr>
                <m:t>chiral</m:t>
              </m:r>
            </m:sup>
          </m:sSup>
          <m:r>
            <m:t>=</m:t>
          </m:r>
          <m:sSub>
            <m:e>
              <m:r>
                <m:t>ω</m:t>
              </m:r>
            </m:e>
            <m:sub>
              <m:r>
                <m:t>θ</m:t>
              </m:r>
              <m:r>
                <m:t>+</m:t>
              </m:r>
              <m:r>
                <m:t>π</m:t>
              </m:r>
            </m:sub>
          </m:sSub>
        </m:oMath>
      </m:oMathPara>
    </w:p>
    <w:p>
      <w:pPr>
        <w:pStyle w:val="FirstParagraph"/>
      </w:pPr>
      <w:r>
        <w:t xml:space="preserve">In our results, the corresponding chiral partner of</w:t>
      </w:r>
      <w:r>
        <w:t xml:space="preserve"> </w:t>
      </w:r>
      <m:oMath>
        <m:r>
          <m:t>θ</m:t>
        </m:r>
        <m:r>
          <m:t>=</m:t>
        </m:r>
        <m:r>
          <m:t>−</m:t>
        </m:r>
        <m:sSup>
          <m:e>
            <m:r>
              <m:t>71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would be</w:t>
      </w:r>
      <w:r>
        <w:t xml:space="preserve"> </w:t>
      </w:r>
      <m:oMath>
        <m:sSup>
          <m:e>
            <m:r>
              <m:t>θ</m:t>
            </m:r>
          </m:e>
          <m:sup>
            <m:r>
              <m:rPr>
                <m:nor/>
                <m:sty m:val="p"/>
              </m:rPr>
              <m:t>chiral</m:t>
            </m:r>
          </m:sup>
        </m:sSup>
        <m:r>
          <m:t>=</m:t>
        </m:r>
        <m:sSup>
          <m:e>
            <m:r>
              <m:t>109</m:t>
            </m:r>
          </m:e>
          <m:sup>
            <m:r>
              <m:t>o</m:t>
            </m:r>
          </m:sup>
        </m:sSup>
      </m:oMath>
      <w:r>
        <w:t xml:space="preserve">.</w:t>
      </w:r>
      <w:r>
        <w:t xml:space="preserve"> </w:t>
      </w:r>
      <w:r>
        <w:t xml:space="preserve">&gt; Solution</w:t>
      </w:r>
    </w:p>
    <w:p>
      <w:pPr>
        <w:pStyle w:val="BodyText"/>
      </w:pPr>
      <w:r>
        <w:t xml:space="preserve">Find the set of parameters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fot which the tuple</w:t>
      </w:r>
      <w:r>
        <w:t xml:space="preserve"> </w:t>
      </w:r>
      <m:oMath>
        <m:r>
          <m:t>(</m:t>
        </m:r>
        <m:r>
          <m:t>ω</m:t>
        </m:r>
        <m:r>
          <m:t>,</m:t>
        </m:r>
        <m:sSup>
          <m:e>
            <m:r>
              <m:t>ω</m:t>
            </m:r>
          </m:e>
          <m:sup>
            <m:r>
              <m:rPr>
                <m:nor/>
                <m:sty m:val="p"/>
              </m:rPr>
              <m:t>chiral</m:t>
            </m:r>
          </m:sup>
        </m:sSup>
        <m:r>
          <m:t>)</m:t>
        </m:r>
      </m:oMath>
      <w:r>
        <w:t xml:space="preserve"> </w:t>
      </w:r>
      <w:r>
        <w:t xml:space="preserve">are real and positive numbers, so that the parameters will provide physical solutions to the problem;</w:t>
      </w:r>
    </w:p>
    <w:p>
      <w:pPr>
        <w:pStyle w:val="Heading3"/>
      </w:pPr>
      <w:bookmarkStart w:id="29" w:name="X0decd09c7d823e22dca195ec57400217a396a4f"/>
      <w:r>
        <w:t xml:space="preserve">New method for returning the wobbling frequency</w:t>
      </w:r>
      <w:bookmarkEnd w:id="29"/>
    </w:p>
    <w:p>
      <w:pPr>
        <w:pStyle w:val="FirstParagraph"/>
      </w:pPr>
      <w:r>
        <w:t xml:space="preserve">Define a tuple</w:t>
      </w:r>
      <w:r>
        <w:t xml:space="preserve"> </w:t>
      </w:r>
      <w:r>
        <w:rPr>
          <w:rStyle w:val="VerbatimChar"/>
        </w:rPr>
        <w:t xml:space="preserve">omegaTuple</w:t>
      </w:r>
      <w:r>
        <w:t xml:space="preserve"> </w:t>
      </w:r>
      <w:r>
        <w:t xml:space="preserve">which returns a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object</w:t>
      </w:r>
      <w:r>
        <w:t xml:space="preserve"> </w:t>
      </w:r>
      <w:r>
        <w:rPr>
          <w:rStyle w:val="VerbatimChar"/>
        </w:rPr>
        <w:t xml:space="preserve">omegas</w:t>
      </w:r>
      <w:r>
        <w:t xml:space="preserve">, that is of the type</w:t>
      </w:r>
      <w:r>
        <w:t xml:space="preserve"> </w:t>
      </w:r>
      <w:r>
        <w:rPr>
          <w:rStyle w:val="VerbatimChar"/>
        </w:rPr>
        <w:t xml:space="preserve">omegas.omega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omegas.omegaChiral</w:t>
      </w:r>
    </w:p>
    <w:p>
      <w:pPr>
        <w:pStyle w:val="SourceCode"/>
      </w:pPr>
      <w:r>
        <w:rPr>
          <w:rStyle w:val="VerbatimChar"/>
        </w:rPr>
        <w:t xml:space="preserve">struct omegaTuple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double omega;</w:t>
      </w:r>
      <w:r>
        <w:br/>
      </w:r>
      <w:r>
        <w:rPr>
          <w:rStyle w:val="VerbatimChar"/>
        </w:rPr>
        <w:t xml:space="preserve">  double omegaChiral;</w:t>
      </w:r>
      <w:r>
        <w:br/>
      </w:r>
      <w:r>
        <w:rPr>
          <w:rStyle w:val="VerbatimChar"/>
        </w:rPr>
        <w:t xml:space="preserve">};</w:t>
      </w:r>
      <w:r>
        <w:br/>
      </w:r>
      <w:r>
        <w:rPr>
          <w:rStyle w:val="VerbatimChar"/>
        </w:rPr>
        <w:t xml:space="preserve">//initialize the tuple for storing the two values of the frequencies.</w:t>
      </w:r>
      <w:r>
        <w:br/>
      </w:r>
      <w:r>
        <w:rPr>
          <w:rStyle w:val="VerbatimChar"/>
        </w:rPr>
        <w:t xml:space="preserve">auto omegas= new omegaTuple();</w:t>
      </w:r>
    </w:p>
    <w:p>
      <w:pPr>
        <w:pStyle w:val="BlockText"/>
      </w:pPr>
      <w:r>
        <w:t xml:space="preserve">introduce the object</w:t>
      </w:r>
      <w:r>
        <w:t xml:space="preserve"> </w:t>
      </w:r>
      <w:r>
        <w:rPr>
          <w:rStyle w:val="VerbatimChar"/>
        </w:rPr>
        <w:t xml:space="preserve">omegas</w:t>
      </w:r>
      <w:r>
        <w:t xml:space="preserve"> </w:t>
      </w:r>
      <w:r>
        <w:t xml:space="preserve">in the fit condition so that both struct members are REAL and positive numbers</w:t>
      </w:r>
    </w:p>
    <w:p>
      <w:pPr>
        <w:pStyle w:val="Heading2"/>
      </w:pPr>
      <w:bookmarkStart w:id="30" w:name="X2f1563c226fe5ef6dd193d77f6c37249d552182"/>
      <w:r>
        <w:t xml:space="preserve">Partial results from the fast-mode data fit</w:t>
      </w:r>
      <w:bookmarkEnd w:id="30"/>
    </w:p>
    <w:p>
      <w:pPr>
        <w:pStyle w:val="FirstParagraph"/>
      </w:pPr>
      <w:r>
        <w:t xml:space="preserve">By doing a so called fast fit (where the steps for the free parameters are relatively large), an RMS which almost coincides with the previous one is obtained.</w:t>
      </w:r>
      <w:r>
        <w:br/>
      </w:r>
      <w:r>
        <w:t xml:space="preserve">With the obtained parameter set</w:t>
      </w:r>
      <w:r>
        <w:t xml:space="preserve"> </w:t>
      </w:r>
      <w:r>
        <w:rPr>
          <w:b/>
        </w:rPr>
        <w:t xml:space="preserve">X</w:t>
      </w:r>
      <w:r>
        <w:t xml:space="preserve">, the chiral frequency is a real number, even for low spins.</w:t>
      </w:r>
    </w:p>
    <w:p>
      <w:pPr>
        <w:pStyle w:val="BodyText"/>
      </w:pPr>
      <w:r>
        <w:t xml:space="preserve">Results can be seen below:</w:t>
      </w:r>
      <w:r>
        <w:br/>
      </w:r>
      <w:r>
        <w:drawing>
          <wp:inline>
            <wp:extent cx="4800600" cy="2578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asavyr/Pipeline/DFT/Pd135_ian2019/code/pr135_EnergyFit_TW1TW2/reports/images/2020-03-21-13-02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BEST RESULTS FOR THE THREE BANDS ARE:</w:t>
      </w:r>
      <w:r>
        <w:br/>
      </w:r>
      <w:r>
        <w:t xml:space="preserve">I1 I2 I3 THETA</w:t>
      </w:r>
      <w:r>
        <w:br/>
      </w:r>
      <w:r>
        <w:t xml:space="preserve">91 11 46 -54</w:t>
      </w:r>
      <w:r>
        <w:br/>
      </w:r>
      <w:r>
        <w:rPr>
          <w:b/>
        </w:rPr>
        <w:t xml:space="preserve">ENERGY RMS:</w:t>
      </w:r>
      <w:r>
        <w:t xml:space="preserve"> </w:t>
      </w:r>
      <w:r>
        <w:t xml:space="preserve">0.174611</w:t>
      </w:r>
      <w:r>
        <w:br/>
      </w:r>
      <w:r>
        <w:t xml:space="preserve">Process took 102.579 seconds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Sensharma, N., et al. </w:t>
      </w:r>
      <w:r>
        <w:t xml:space="preserve">“</w:t>
      </w:r>
      <w:r>
        <w:t xml:space="preserve">Two-phonon wobbling in 135Pr.</w:t>
      </w:r>
      <w:r>
        <w:t xml:space="preserve">”</w:t>
      </w:r>
      <w:r>
        <w:t xml:space="preserve"> </w:t>
      </w:r>
      <w:r>
        <w:t xml:space="preserve">Physics Letters B 792 (2019): 170-174.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2020-03-21T11:04:42Z</dcterms:created>
  <dcterms:modified xsi:type="dcterms:W3CDTF">2020-03-21T11:04:42Z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