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312"/>
        <w:ind w:hanging="0" w:left="0"/>
        <w:outlineLvl w:val="0"/>
        <w:rPr>
          <w:rFonts w:ascii="Arial" w:hAnsi="Arial" w:cs="Arial"/>
          <w:b/>
          <w:sz w:val="30"/>
          <w:szCs w:val="30"/>
        </w:rPr>
      </w:pPr>
      <w:r>
        <w:rPr>
          <w:rFonts w:cs="Arial" w:ascii="Arial" w:hAnsi="Arial"/>
          <w:b/>
          <w:sz w:val="30"/>
          <w:szCs w:val="30"/>
        </w:rPr>
      </w:r>
    </w:p>
    <w:p>
      <w:pPr>
        <w:pStyle w:val="Normal"/>
        <w:spacing w:lineRule="auto" w:line="312"/>
        <w:jc w:val="both"/>
        <w:rPr>
          <w:rFonts w:ascii="Arial" w:hAnsi="Arial" w:cs="Arial"/>
        </w:rPr>
      </w:pPr>
      <w:permStart w:id="2064732461" w:edGrp="everyone"/>
      <w:r>
        <w:rPr>
          <w:rFonts w:cs="Arial" w:ascii="Arial" w:hAnsi="Arial"/>
        </w:rPr>
        <w:t>Para os devidos efeitos declara-se que ${professor_name}, orientou, no ${course_name}, os seguintes estágios durante o:</w:t>
      </w:r>
    </w:p>
    <w:p>
      <w:pPr>
        <w:pStyle w:val="Normal"/>
        <w:spacing w:lineRule="auto" w:line="312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12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Ano </w:t>
      </w:r>
      <w:r>
        <w:rPr>
          <w:rFonts w:cs="Arial" w:ascii="Arial" w:hAnsi="Arial"/>
        </w:rPr>
        <w:t>Letivo ${school_year}</w:t>
      </w:r>
      <w:r>
        <w:rPr>
          <w:rFonts w:cs="Arial" w:ascii="Arial" w:hAnsi="Arial"/>
        </w:rPr>
        <w:t>, ${intern_count} estágios curriculares.</w:t>
      </w:r>
    </w:p>
    <w:p>
      <w:pPr>
        <w:pStyle w:val="Normal"/>
        <w:spacing w:lineRule="auto" w:line="312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12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2"/>
        <w:spacing w:lineRule="auto" w:line="312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Tal como consta do anexo a este documento.</w:t>
      </w:r>
    </w:p>
    <w:p>
      <w:pPr>
        <w:pStyle w:val="BodyText2"/>
        <w:spacing w:lineRule="auto" w:line="312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Por ser verdade, a presente declaração vai assinada pela Coordenadora do Gabinete de Estágios e Empregabilidade do ISCAP.</w:t>
      </w:r>
    </w:p>
    <w:p>
      <w:pPr>
        <w:pStyle w:val="Normal"/>
        <w:spacing w:lineRule="auto" w:line="48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S. M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amede de Infesta, ${current_date}</w:t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 Coordenador(a) do GEE</w:t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__________________________________</w:t>
      </w:r>
    </w:p>
    <w:p>
      <w:pPr>
        <w:pStyle w:val="Normal"/>
        <w:spacing w:before="0" w:after="200"/>
        <w:jc w:val="right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Isabel Ardions</w:t>
      </w:r>
      <w:permEnd w:id="206473246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701" w:gutter="0" w:header="709" w:top="1063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Proforma-Light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Porto Sans Light">
    <w:charset w:val="01"/>
    <w:family w:val="roman"/>
    <w:pitch w:val="variable"/>
  </w:font>
  <w:font w:name="Porto Sans">
    <w:charset w:val="01"/>
    <w:family w:val="roman"/>
    <w:pitch w:val="variable"/>
  </w:font>
  <w:font w:name="Porto Sans Bold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" wp14:anchorId="1C6CEA84">
              <wp:simplePos x="0" y="0"/>
              <wp:positionH relativeFrom="column">
                <wp:posOffset>-656590</wp:posOffset>
              </wp:positionH>
              <wp:positionV relativeFrom="paragraph">
                <wp:posOffset>1325880</wp:posOffset>
              </wp:positionV>
              <wp:extent cx="2374265" cy="207010"/>
              <wp:effectExtent l="0" t="0" r="0" b="0"/>
              <wp:wrapNone/>
              <wp:docPr id="3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2374200" cy="20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20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6"/>
                              <w:szCs w:val="16"/>
                            </w:rPr>
                            <w:t>ISCAP-GEE-MOD045.v02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51.7pt;margin-top:104.35pt;width:186.9pt;height:16.25pt;mso-wrap-style:square;v-text-anchor:top;rotation:90" wp14:anchorId="1C6CEA84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before="0" w:after="20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6"/>
                        <w:szCs w:val="16"/>
                      </w:rPr>
                      <w:t>ISCAP-GEE-MOD045.v02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1B99724B">
              <wp:simplePos x="0" y="0"/>
              <wp:positionH relativeFrom="margin">
                <wp:align>right</wp:align>
              </wp:positionH>
              <wp:positionV relativeFrom="paragraph">
                <wp:posOffset>-41275</wp:posOffset>
              </wp:positionV>
              <wp:extent cx="5400675" cy="238125"/>
              <wp:effectExtent l="0" t="0" r="0" b="0"/>
              <wp:wrapNone/>
              <wp:docPr id="4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720" cy="237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3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3"/>
                              <w:szCs w:val="16"/>
                            </w:rPr>
                            <w:t>GEE</w:t>
                          </w:r>
                          <w:r>
                            <w:rPr>
                              <w:rFonts w:cs="Arial" w:ascii="Arial" w:hAnsi="Arial"/>
                              <w:color w:val="000000"/>
                              <w:sz w:val="13"/>
                              <w:szCs w:val="16"/>
                            </w:rPr>
                            <w:t xml:space="preserve"> GABINETE DE ESTÁGIOS E EMPREGABILIDADE </w:t>
                          </w: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3"/>
                              <w:szCs w:val="16"/>
                            </w:rPr>
                            <w:t>T</w:t>
                          </w:r>
                          <w:r>
                            <w:rPr>
                              <w:rFonts w:cs="Arial" w:ascii="Arial" w:hAnsi="Arial"/>
                              <w:color w:val="000000"/>
                              <w:sz w:val="13"/>
                              <w:szCs w:val="16"/>
                            </w:rPr>
                            <w:t xml:space="preserve"> 22 905 00 90 [EXT.22390] GEE@ISCAP.IPP.PT | WWW.ISCAP.IPP.PT/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0.1pt;margin-top:-3.25pt;width:425.2pt;height:18.7pt;mso-wrap-style:square;v-text-anchor:top;mso-position-horizontal:right;mso-position-horizontal-relative:margin" wp14:anchorId="1B99724B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ooter"/>
                      <w:jc w:val="center"/>
                      <w:rPr>
                        <w:rFonts w:ascii="Arial" w:hAnsi="Arial" w:cs="Arial"/>
                        <w:sz w:val="13"/>
                        <w:szCs w:val="16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13"/>
                        <w:szCs w:val="16"/>
                      </w:rPr>
                      <w:t>GEE</w:t>
                    </w:r>
                    <w:r>
                      <w:rPr>
                        <w:rFonts w:cs="Arial" w:ascii="Arial" w:hAnsi="Arial"/>
                        <w:color w:val="000000"/>
                        <w:sz w:val="13"/>
                        <w:szCs w:val="16"/>
                      </w:rPr>
                      <w:t xml:space="preserve"> GABINETE DE ESTÁGIOS E EMPREGABILIDADE </w:t>
                    </w:r>
                    <w:r>
                      <w:rPr>
                        <w:rFonts w:cs="Arial" w:ascii="Arial" w:hAnsi="Arial"/>
                        <w:b/>
                        <w:color w:val="000000"/>
                        <w:sz w:val="13"/>
                        <w:szCs w:val="16"/>
                      </w:rPr>
                      <w:t>T</w:t>
                    </w:r>
                    <w:r>
                      <w:rPr>
                        <w:rFonts w:cs="Arial" w:ascii="Arial" w:hAnsi="Arial"/>
                        <w:color w:val="000000"/>
                        <w:sz w:val="13"/>
                        <w:szCs w:val="16"/>
                      </w:rPr>
                      <w:t xml:space="preserve"> 22 905 00 90 [EXT.22390] GEE@ISCAP.IPP.PT | WWW.ISCAP.IPP.PT/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1" allowOverlap="1" relativeHeight="3" wp14:anchorId="1C6CEA84">
              <wp:simplePos x="0" y="0"/>
              <wp:positionH relativeFrom="column">
                <wp:posOffset>-656590</wp:posOffset>
              </wp:positionH>
              <wp:positionV relativeFrom="paragraph">
                <wp:posOffset>1325880</wp:posOffset>
              </wp:positionV>
              <wp:extent cx="2374265" cy="207010"/>
              <wp:effectExtent l="0" t="0" r="0" b="0"/>
              <wp:wrapNone/>
              <wp:docPr id="5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2374200" cy="207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user"/>
                            <w:spacing w:before="0" w:after="20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color w:val="000000"/>
                              <w:sz w:val="16"/>
                              <w:szCs w:val="16"/>
                            </w:rPr>
                            <w:t>ISCAP-GEE-MOD045.v02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51.7pt;margin-top:104.35pt;width:186.9pt;height:16.25pt;mso-wrap-style:square;v-text-anchor:top;rotation:90" wp14:anchorId="1C6CEA84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rameContentsuser"/>
                      <w:spacing w:before="0" w:after="20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cs="Arial" w:ascii="Arial" w:hAnsi="Arial"/>
                        <w:color w:val="000000"/>
                        <w:sz w:val="16"/>
                        <w:szCs w:val="16"/>
                      </w:rPr>
                      <w:t>ISCAP-GEE-MOD045.v02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 wp14:anchorId="1B99724B">
              <wp:simplePos x="0" y="0"/>
              <wp:positionH relativeFrom="margin">
                <wp:align>right</wp:align>
              </wp:positionH>
              <wp:positionV relativeFrom="paragraph">
                <wp:posOffset>-41275</wp:posOffset>
              </wp:positionV>
              <wp:extent cx="5400675" cy="238125"/>
              <wp:effectExtent l="0" t="0" r="0" b="0"/>
              <wp:wrapNone/>
              <wp:docPr id="6" name="Caixa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00720" cy="2379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Arial" w:hAnsi="Arial" w:cs="Arial"/>
                              <w:sz w:val="13"/>
                              <w:szCs w:val="16"/>
                            </w:rPr>
                          </w:pP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3"/>
                              <w:szCs w:val="16"/>
                            </w:rPr>
                            <w:t>GEE</w:t>
                          </w:r>
                          <w:r>
                            <w:rPr>
                              <w:rFonts w:cs="Arial" w:ascii="Arial" w:hAnsi="Arial"/>
                              <w:color w:val="000000"/>
                              <w:sz w:val="13"/>
                              <w:szCs w:val="16"/>
                            </w:rPr>
                            <w:t xml:space="preserve"> GABINETE DE ESTÁGIOS E EMPREGABILIDADE </w:t>
                          </w:r>
                          <w:r>
                            <w:rPr>
                              <w:rFonts w:cs="Arial" w:ascii="Arial" w:hAnsi="Arial"/>
                              <w:b/>
                              <w:color w:val="000000"/>
                              <w:sz w:val="13"/>
                              <w:szCs w:val="16"/>
                            </w:rPr>
                            <w:t>T</w:t>
                          </w:r>
                          <w:r>
                            <w:rPr>
                              <w:rFonts w:cs="Arial" w:ascii="Arial" w:hAnsi="Arial"/>
                              <w:color w:val="000000"/>
                              <w:sz w:val="13"/>
                              <w:szCs w:val="16"/>
                            </w:rPr>
                            <w:t xml:space="preserve"> 22 905 00 90 [EXT.22390] GEE@ISCAP.IPP.PT | WWW.ISCAP.IPP.PT/</w:t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aixa de Texto 2" path="m0,0l-2147483645,0l-2147483645,-2147483646l0,-2147483646xe" stroked="f" o:allowincell="f" style="position:absolute;margin-left:-0.1pt;margin-top:-3.25pt;width:425.2pt;height:18.7pt;mso-wrap-style:square;v-text-anchor:top;mso-position-horizontal:right;mso-position-horizontal-relative:margin" wp14:anchorId="1B99724B">
              <v:fill o:detectmouseclick="t" on="false"/>
              <v:stroke color="#3465a4" weight="9360" joinstyle="round" endcap="flat"/>
              <v:textbox>
                <w:txbxContent>
                  <w:p>
                    <w:pPr>
                      <w:pStyle w:val="Footer"/>
                      <w:jc w:val="center"/>
                      <w:rPr>
                        <w:rFonts w:ascii="Arial" w:hAnsi="Arial" w:cs="Arial"/>
                        <w:sz w:val="13"/>
                        <w:szCs w:val="16"/>
                      </w:rPr>
                    </w:pPr>
                    <w:r>
                      <w:rPr>
                        <w:rFonts w:cs="Arial" w:ascii="Arial" w:hAnsi="Arial"/>
                        <w:b/>
                        <w:color w:val="000000"/>
                        <w:sz w:val="13"/>
                        <w:szCs w:val="16"/>
                      </w:rPr>
                      <w:t>GEE</w:t>
                    </w:r>
                    <w:r>
                      <w:rPr>
                        <w:rFonts w:cs="Arial" w:ascii="Arial" w:hAnsi="Arial"/>
                        <w:color w:val="000000"/>
                        <w:sz w:val="13"/>
                        <w:szCs w:val="16"/>
                      </w:rPr>
                      <w:t xml:space="preserve"> GABINETE DE ESTÁGIOS E EMPREGABILIDADE </w:t>
                    </w:r>
                    <w:r>
                      <w:rPr>
                        <w:rFonts w:cs="Arial" w:ascii="Arial" w:hAnsi="Arial"/>
                        <w:b/>
                        <w:color w:val="000000"/>
                        <w:sz w:val="13"/>
                        <w:szCs w:val="16"/>
                      </w:rPr>
                      <w:t>T</w:t>
                    </w:r>
                    <w:r>
                      <w:rPr>
                        <w:rFonts w:cs="Arial" w:ascii="Arial" w:hAnsi="Arial"/>
                        <w:color w:val="000000"/>
                        <w:sz w:val="13"/>
                        <w:szCs w:val="16"/>
                      </w:rPr>
                      <w:t xml:space="preserve"> 22 905 00 90 [EXT.22390] GEE@ISCAP.IPP.PT | WWW.ISCAP.IPP.PT/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/>
      <w:drawing>
        <wp:inline distT="0" distB="0" distL="0" distR="0">
          <wp:extent cx="1435100" cy="317500"/>
          <wp:effectExtent l="0" t="0" r="0" b="0"/>
          <wp:docPr id="1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tbl>
    <w:tblPr>
      <w:tblStyle w:val="TabelacomGrelha"/>
      <w:tblpPr w:vertAnchor="page" w:horzAnchor="page" w:leftFromText="181" w:rightFromText="181" w:tblpX="852" w:tblpY="1419"/>
      <w:tblOverlap w:val="never"/>
      <w:tblW w:w="1587" w:type="dxa"/>
      <w:jc w:val="left"/>
      <w:tblInd w:w="0" w:type="dxa"/>
      <w:tblLayout w:type="fixed"/>
      <w:tblCellMar>
        <w:top w:w="85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84"/>
      <w:gridCol w:w="1053"/>
      <w:gridCol w:w="250"/>
    </w:tblGrid>
    <w:tr>
      <w:trPr>
        <w:trHeight w:val="113" w:hRule="exact"/>
      </w:trPr>
      <w:tc>
        <w:tcPr>
          <w:tcW w:w="284" w:type="dxa"/>
          <w:tcBorders>
            <w:top w:val="nil"/>
            <w:left w:val="nil"/>
            <w:bottom w:val="single" w:sz="8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6"/>
              <w:szCs w:val="16"/>
              <w:lang w:eastAsia="en-US"/>
            </w:rPr>
          </w:pPr>
          <w:r>
            <w:rPr>
              <w:rFonts w:eastAsia="MS Mincho" w:cs="Times New Roman" w:ascii="Porto Sans Light" w:hAnsi="Porto Sans Light"/>
              <w:sz w:val="16"/>
              <w:szCs w:val="16"/>
              <w:lang w:eastAsia="en-US"/>
            </w:rPr>
          </w:r>
        </w:p>
      </w:tc>
      <w:tc>
        <w:tcPr>
          <w:tcW w:w="10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6"/>
              <w:szCs w:val="16"/>
              <w:lang w:eastAsia="en-US"/>
            </w:rPr>
          </w:pPr>
          <w:r>
            <w:rPr>
              <w:rFonts w:eastAsia="MS Mincho" w:cs="Times New Roman" w:ascii="Porto Sans Light" w:hAnsi="Porto Sans Light"/>
              <w:sz w:val="16"/>
              <w:szCs w:val="16"/>
              <w:lang w:eastAsia="en-US"/>
            </w:rPr>
          </w:r>
        </w:p>
      </w:tc>
      <w:tc>
        <w:tcPr>
          <w:tcW w:w="2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200"/>
            <w:jc w:val="left"/>
            <w:rPr>
              <w:rFonts w:ascii="Calibri" w:hAnsi="Calibri" w:cs=""/>
              <w:kern w:val="0"/>
              <w:sz w:val="24"/>
              <w:szCs w:val="24"/>
              <w:lang w:val="pt-PT" w:bidi="ar-SA"/>
            </w:rPr>
          </w:pPr>
          <w:r>
            <w:rPr>
              <w:rFonts w:cs=""/>
              <w:kern w:val="0"/>
              <w:sz w:val="24"/>
              <w:szCs w:val="24"/>
              <w:lang w:val="pt-PT" w:bidi="ar-SA"/>
            </w:rPr>
          </w:r>
        </w:p>
      </w:tc>
    </w:tr>
    <w:tr>
      <w:trPr>
        <w:trHeight w:val="1231" w:hRule="atLeast"/>
      </w:trPr>
      <w:tc>
        <w:tcPr>
          <w:tcW w:w="1587" w:type="dxa"/>
          <w:gridSpan w:val="3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INSTITUTO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SUPERIOR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DE CONTABILIDADE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E ADMINISTRAÇÃO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DO PORTO</w:t>
          </w:r>
        </w:p>
        <w:p>
          <w:pPr>
            <w:pStyle w:val="Normal"/>
            <w:widowControl/>
            <w:suppressAutoHyphens w:val="true"/>
            <w:spacing w:lineRule="auto" w:line="36" w:before="0" w:after="0"/>
            <w:jc w:val="left"/>
            <w:rPr>
              <w:rFonts w:ascii="Porto Sans Bold" w:hAnsi="Porto Sans Bold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Bold" w:hAnsi="Porto Sans Bold"/>
              <w:sz w:val="15"/>
              <w:szCs w:val="15"/>
              <w:lang w:eastAsia="en-US"/>
            </w:rPr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POLITÉCNICO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DO PORTO</w:t>
          </w:r>
        </w:p>
      </w:tc>
    </w:tr>
  </w:tbl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tbl>
    <w:tblPr>
      <w:tblStyle w:val="TabelacomGrelha"/>
      <w:tblW w:w="860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65"/>
      <w:gridCol w:w="426"/>
      <w:gridCol w:w="428"/>
      <w:gridCol w:w="2154"/>
      <w:gridCol w:w="431"/>
      <w:gridCol w:w="4303"/>
    </w:tblGrid>
    <w:tr>
      <w:trPr>
        <w:trHeight w:val="193" w:hRule="exact"/>
      </w:trPr>
      <w:tc>
        <w:tcPr>
          <w:tcW w:w="865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/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2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2154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85" w:type="dxa"/>
          </w:tcMar>
        </w:tcPr>
        <w:p>
          <w:pPr>
            <w:pStyle w:val="Normal"/>
            <w:widowControl/>
            <w:suppressAutoHyphens w:val="true"/>
            <w:spacing w:lineRule="auto" w:line="312" w:before="0" w:after="0"/>
            <w:jc w:val="center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PortoSans-Regular" w:ascii="Porto Sans Light" w:hAnsi="Porto Sans Light"/>
              <w:caps/>
              <w:kern w:val="0"/>
              <w:sz w:val="80"/>
              <w:szCs w:val="80"/>
              <w:lang w:val="pt-PT" w:eastAsia="en-US" w:bidi="ar-SA"/>
            </w:rPr>
            <w:t>g</w:t>
          </w:r>
          <w:r>
            <w:rPr>
              <w:rFonts w:eastAsia="MS Mincho" w:cs="PortoSans-Regular" w:ascii="Porto Sans" w:hAnsi="Porto Sans"/>
              <w:caps/>
              <w:kern w:val="0"/>
              <w:sz w:val="80"/>
              <w:szCs w:val="80"/>
              <w:lang w:val="pt-PT" w:eastAsia="en-US" w:bidi="ar-SA"/>
            </w:rPr>
            <w:t>ee</w:t>
          </w:r>
        </w:p>
      </w:tc>
      <w:tc>
        <w:tcPr>
          <w:tcW w:w="431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30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</w:tr>
    <w:tr>
      <w:trPr>
        <w:trHeight w:val="1578" w:hRule="exact"/>
      </w:trPr>
      <w:tc>
        <w:tcPr>
          <w:tcW w:w="865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854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113" w:type="dxa"/>
          </w:tcMar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215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734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360" w:before="0" w:after="0"/>
            <w:jc w:val="left"/>
            <w:textAlignment w:val="center"/>
            <w:rPr>
              <w:rFonts w:ascii="Porto Sans Light" w:hAnsi="Porto Sans Light" w:eastAsia="MS Mincho" w:cs="PortoSans-Regular"/>
              <w:caps/>
              <w:color w:val="000000"/>
              <w:sz w:val="14"/>
              <w:szCs w:val="14"/>
              <w:lang w:eastAsia="en-US"/>
            </w:rPr>
          </w:pPr>
          <w:r>
            <w:rPr>
              <w:rFonts w:eastAsia="MS Mincho" w:cs="PortoSans-Regular" w:ascii="Porto Sans Light" w:hAnsi="Porto Sans Light"/>
              <w:caps/>
              <w:color w:val="000000"/>
              <w:kern w:val="0"/>
              <w:sz w:val="14"/>
              <w:szCs w:val="14"/>
              <w:lang w:val="pt-PT" w:eastAsia="en-US" w:bidi="ar-SA"/>
            </w:rPr>
            <w:t>gabiente de estágios e empregabilidade</w:t>
          </w:r>
        </w:p>
        <w:p>
          <w:pPr>
            <w:pStyle w:val="Normal"/>
            <w:widowControl w:val="false"/>
            <w:suppressAutoHyphens w:val="true"/>
            <w:spacing w:before="0" w:after="0"/>
            <w:jc w:val="left"/>
            <w:textAlignment w:val="center"/>
            <w:rPr>
              <w:rFonts w:ascii="Porto Sans" w:hAnsi="Porto Sans" w:eastAsia="MS Mincho" w:cs="PortoSans-Bold"/>
              <w:bCs/>
              <w:caps/>
              <w:color w:val="000000"/>
              <w:sz w:val="18"/>
              <w:szCs w:val="18"/>
              <w:lang w:eastAsia="en-US"/>
            </w:rPr>
          </w:pPr>
          <w:r>
            <w:rPr>
              <w:rFonts w:eastAsia="MS Mincho" w:cs="PortoSans-Bold" w:ascii="Porto Sans" w:hAnsi="Porto Sans"/>
              <w:bCs/>
              <w:caps/>
              <w:color w:val="000000"/>
              <w:kern w:val="0"/>
              <w:sz w:val="18"/>
              <w:szCs w:val="18"/>
              <w:lang w:val="pt-PT" w:eastAsia="en-US" w:bidi="ar-SA"/>
            </w:rPr>
            <w:t>DECLARAÇÃO</w:t>
            <w:br/>
            <w:t>Orientação de estágios</w:t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tabs>
              <w:tab w:val="clear" w:pos="708"/>
              <w:tab w:val="left" w:pos="1120" w:leader="none"/>
            </w:tabs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/>
      <w:drawing>
        <wp:inline distT="0" distB="0" distL="0" distR="0">
          <wp:extent cx="1435100" cy="317500"/>
          <wp:effectExtent l="0" t="0" r="0" b="0"/>
          <wp:docPr id="2" name="Picture 9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35100" cy="3175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jc w:val="right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tbl>
    <w:tblPr>
      <w:tblStyle w:val="TabelacomGrelha"/>
      <w:tblpPr w:vertAnchor="page" w:horzAnchor="page" w:leftFromText="181" w:rightFromText="181" w:tblpX="852" w:tblpY="1419"/>
      <w:tblOverlap w:val="never"/>
      <w:tblW w:w="1587" w:type="dxa"/>
      <w:jc w:val="left"/>
      <w:tblInd w:w="0" w:type="dxa"/>
      <w:tblLayout w:type="fixed"/>
      <w:tblCellMar>
        <w:top w:w="85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284"/>
      <w:gridCol w:w="1053"/>
      <w:gridCol w:w="250"/>
    </w:tblGrid>
    <w:tr>
      <w:trPr>
        <w:trHeight w:val="113" w:hRule="exact"/>
      </w:trPr>
      <w:tc>
        <w:tcPr>
          <w:tcW w:w="284" w:type="dxa"/>
          <w:tcBorders>
            <w:top w:val="nil"/>
            <w:left w:val="nil"/>
            <w:bottom w:val="single" w:sz="8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6"/>
              <w:szCs w:val="16"/>
              <w:lang w:eastAsia="en-US"/>
            </w:rPr>
          </w:pPr>
          <w:r>
            <w:rPr>
              <w:rFonts w:eastAsia="MS Mincho" w:cs="Times New Roman" w:ascii="Porto Sans Light" w:hAnsi="Porto Sans Light"/>
              <w:sz w:val="16"/>
              <w:szCs w:val="16"/>
              <w:lang w:eastAsia="en-US"/>
            </w:rPr>
          </w:r>
        </w:p>
      </w:tc>
      <w:tc>
        <w:tcPr>
          <w:tcW w:w="105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6"/>
              <w:szCs w:val="16"/>
              <w:lang w:eastAsia="en-US"/>
            </w:rPr>
          </w:pPr>
          <w:r>
            <w:rPr>
              <w:rFonts w:eastAsia="MS Mincho" w:cs="Times New Roman" w:ascii="Porto Sans Light" w:hAnsi="Porto Sans Light"/>
              <w:sz w:val="16"/>
              <w:szCs w:val="16"/>
              <w:lang w:eastAsia="en-US"/>
            </w:rPr>
          </w:r>
        </w:p>
      </w:tc>
      <w:tc>
        <w:tcPr>
          <w:tcW w:w="25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200"/>
            <w:jc w:val="left"/>
            <w:rPr>
              <w:rFonts w:ascii="Calibri" w:hAnsi="Calibri" w:cs=""/>
              <w:kern w:val="0"/>
              <w:sz w:val="24"/>
              <w:szCs w:val="24"/>
              <w:lang w:val="pt-PT" w:bidi="ar-SA"/>
            </w:rPr>
          </w:pPr>
          <w:r>
            <w:rPr>
              <w:rFonts w:cs=""/>
              <w:kern w:val="0"/>
              <w:sz w:val="24"/>
              <w:szCs w:val="24"/>
              <w:lang w:val="pt-PT" w:bidi="ar-SA"/>
            </w:rPr>
          </w:r>
        </w:p>
      </w:tc>
    </w:tr>
    <w:tr>
      <w:trPr>
        <w:trHeight w:val="1231" w:hRule="atLeast"/>
      </w:trPr>
      <w:tc>
        <w:tcPr>
          <w:tcW w:w="1587" w:type="dxa"/>
          <w:gridSpan w:val="3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INSTITUTO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SUPERIOR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DE CONTABILIDADE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E ADMINISTRAÇÃO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b/>
              <w:sz w:val="15"/>
              <w:szCs w:val="15"/>
              <w:lang w:eastAsia="en-US"/>
            </w:rPr>
          </w:pPr>
          <w:r>
            <w:rPr>
              <w:rFonts w:eastAsia="MS Mincho" w:cs="Times New Roman" w:ascii="Porto Sans" w:hAnsi="Porto Sans"/>
              <w:b/>
              <w:kern w:val="0"/>
              <w:sz w:val="15"/>
              <w:szCs w:val="15"/>
              <w:lang w:val="pt-PT" w:eastAsia="en-US" w:bidi="ar-SA"/>
            </w:rPr>
            <w:t>DO PORTO</w:t>
          </w:r>
        </w:p>
        <w:p>
          <w:pPr>
            <w:pStyle w:val="Normal"/>
            <w:widowControl/>
            <w:suppressAutoHyphens w:val="true"/>
            <w:spacing w:lineRule="auto" w:line="36" w:before="0" w:after="0"/>
            <w:jc w:val="left"/>
            <w:rPr>
              <w:rFonts w:ascii="Porto Sans Bold" w:hAnsi="Porto Sans Bold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Bold" w:hAnsi="Porto Sans Bold"/>
              <w:sz w:val="15"/>
              <w:szCs w:val="15"/>
              <w:lang w:eastAsia="en-US"/>
            </w:rPr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POLITÉCNICO</w:t>
          </w:r>
        </w:p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 Light" w:hAnsi="Porto Sans Light" w:eastAsia="MS Mincho" w:cs="Times New Roman"/>
              <w:sz w:val="15"/>
              <w:szCs w:val="15"/>
              <w:lang w:eastAsia="en-US"/>
            </w:rPr>
          </w:pPr>
          <w:r>
            <w:rPr>
              <w:rFonts w:eastAsia="MS Mincho" w:cs="Times New Roman" w:ascii="Porto Sans Light" w:hAnsi="Porto Sans Light"/>
              <w:kern w:val="0"/>
              <w:sz w:val="15"/>
              <w:szCs w:val="15"/>
              <w:lang w:val="pt-PT" w:eastAsia="en-US" w:bidi="ar-SA"/>
            </w:rPr>
            <w:t>DO PORTO</w:t>
          </w:r>
        </w:p>
      </w:tc>
    </w:tr>
  </w:tbl>
  <w:p>
    <w:pPr>
      <w:pStyle w:val="Normal"/>
      <w:tabs>
        <w:tab w:val="clear" w:pos="708"/>
        <w:tab w:val="center" w:pos="4320" w:leader="none"/>
        <w:tab w:val="right" w:pos="8640" w:leader="none"/>
      </w:tabs>
      <w:spacing w:lineRule="auto" w:line="240" w:before="0" w:after="0"/>
      <w:rPr>
        <w:rFonts w:ascii="Cambria" w:hAnsi="Cambria" w:eastAsia="MS Mincho" w:cs="Times New Roman"/>
        <w:sz w:val="24"/>
        <w:szCs w:val="24"/>
        <w:lang w:eastAsia="en-US"/>
      </w:rPr>
    </w:pPr>
    <w:r>
      <w:rPr>
        <w:rFonts w:eastAsia="MS Mincho" w:cs="Times New Roman" w:ascii="Cambria" w:hAnsi="Cambria"/>
        <w:sz w:val="24"/>
        <w:szCs w:val="24"/>
        <w:lang w:eastAsia="en-US"/>
      </w:rPr>
    </w:r>
  </w:p>
  <w:tbl>
    <w:tblPr>
      <w:tblStyle w:val="TabelacomGrelha"/>
      <w:tblW w:w="8608" w:type="dxa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  <w:tblLook w:val="04a0" w:noHBand="0" w:noVBand="1" w:firstColumn="1" w:lastRow="0" w:lastColumn="0" w:firstRow="1"/>
    </w:tblPr>
    <w:tblGrid>
      <w:gridCol w:w="865"/>
      <w:gridCol w:w="426"/>
      <w:gridCol w:w="428"/>
      <w:gridCol w:w="2154"/>
      <w:gridCol w:w="431"/>
      <w:gridCol w:w="4303"/>
    </w:tblGrid>
    <w:tr>
      <w:trPr>
        <w:trHeight w:val="193" w:hRule="exact"/>
      </w:trPr>
      <w:tc>
        <w:tcPr>
          <w:tcW w:w="865" w:type="dxa"/>
          <w:vMerge w:val="restart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26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/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28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tabs>
              <w:tab w:val="clear" w:pos="708"/>
              <w:tab w:val="left" w:pos="1205" w:leader="none"/>
            </w:tabs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2154" w:type="dxa"/>
          <w:vMerge w:val="restart"/>
          <w:tcBorders>
            <w:top w:val="nil"/>
            <w:left w:val="nil"/>
            <w:bottom w:val="nil"/>
            <w:right w:val="nil"/>
          </w:tcBorders>
          <w:tcMar>
            <w:top w:w="85" w:type="dxa"/>
          </w:tcMar>
        </w:tcPr>
        <w:p>
          <w:pPr>
            <w:pStyle w:val="Normal"/>
            <w:widowControl/>
            <w:suppressAutoHyphens w:val="true"/>
            <w:spacing w:lineRule="auto" w:line="312" w:before="0" w:after="0"/>
            <w:jc w:val="center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PortoSans-Regular" w:ascii="Porto Sans Light" w:hAnsi="Porto Sans Light"/>
              <w:caps/>
              <w:kern w:val="0"/>
              <w:sz w:val="80"/>
              <w:szCs w:val="80"/>
              <w:lang w:val="pt-PT" w:eastAsia="en-US" w:bidi="ar-SA"/>
            </w:rPr>
            <w:t>g</w:t>
          </w:r>
          <w:r>
            <w:rPr>
              <w:rFonts w:eastAsia="MS Mincho" w:cs="PortoSans-Regular" w:ascii="Porto Sans" w:hAnsi="Porto Sans"/>
              <w:caps/>
              <w:kern w:val="0"/>
              <w:sz w:val="80"/>
              <w:szCs w:val="80"/>
              <w:lang w:val="pt-PT" w:eastAsia="en-US" w:bidi="ar-SA"/>
            </w:rPr>
            <w:t>ee</w:t>
          </w:r>
        </w:p>
      </w:tc>
      <w:tc>
        <w:tcPr>
          <w:tcW w:w="431" w:type="dxa"/>
          <w:tcBorders>
            <w:top w:val="nil"/>
            <w:left w:val="nil"/>
            <w:bottom w:val="single" w:sz="12" w:space="0" w:color="000000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303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righ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</w:tr>
    <w:tr>
      <w:trPr>
        <w:trHeight w:val="1578" w:hRule="exact"/>
      </w:trPr>
      <w:tc>
        <w:tcPr>
          <w:tcW w:w="865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854" w:type="dxa"/>
          <w:gridSpan w:val="2"/>
          <w:tcBorders>
            <w:top w:val="nil"/>
            <w:left w:val="nil"/>
            <w:bottom w:val="nil"/>
            <w:right w:val="nil"/>
          </w:tcBorders>
          <w:tcMar>
            <w:top w:w="113" w:type="dxa"/>
          </w:tcMar>
        </w:tcPr>
        <w:p>
          <w:pPr>
            <w:pStyle w:val="Normal"/>
            <w:widowControl/>
            <w:suppressAutoHyphens w:val="true"/>
            <w:spacing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2154" w:type="dxa"/>
          <w:vMerge w:val="continue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</w:tc>
      <w:tc>
        <w:tcPr>
          <w:tcW w:w="4734" w:type="dxa"/>
          <w:gridSpan w:val="2"/>
          <w:tcBorders>
            <w:top w:val="nil"/>
            <w:left w:val="nil"/>
            <w:bottom w:val="nil"/>
            <w:right w:val="nil"/>
          </w:tcBorders>
        </w:tcPr>
        <w:p>
          <w:pPr>
            <w:pStyle w:val="Normal"/>
            <w:widowControl w:val="false"/>
            <w:suppressAutoHyphens w:val="true"/>
            <w:spacing w:lineRule="auto" w:line="360" w:before="0" w:after="0"/>
            <w:jc w:val="left"/>
            <w:textAlignment w:val="center"/>
            <w:rPr>
              <w:rFonts w:ascii="Porto Sans Light" w:hAnsi="Porto Sans Light" w:eastAsia="MS Mincho" w:cs="PortoSans-Regular"/>
              <w:caps/>
              <w:color w:val="000000"/>
              <w:sz w:val="14"/>
              <w:szCs w:val="14"/>
              <w:lang w:eastAsia="en-US"/>
            </w:rPr>
          </w:pPr>
          <w:r>
            <w:rPr>
              <w:rFonts w:eastAsia="MS Mincho" w:cs="PortoSans-Regular" w:ascii="Porto Sans Light" w:hAnsi="Porto Sans Light"/>
              <w:caps/>
              <w:color w:val="000000"/>
              <w:kern w:val="0"/>
              <w:sz w:val="14"/>
              <w:szCs w:val="14"/>
              <w:lang w:val="pt-PT" w:eastAsia="en-US" w:bidi="ar-SA"/>
            </w:rPr>
            <w:t>gabiente de estágios e empregabilidade</w:t>
          </w:r>
        </w:p>
        <w:p>
          <w:pPr>
            <w:pStyle w:val="Normal"/>
            <w:widowControl w:val="false"/>
            <w:suppressAutoHyphens w:val="true"/>
            <w:spacing w:before="0" w:after="0"/>
            <w:jc w:val="left"/>
            <w:textAlignment w:val="center"/>
            <w:rPr>
              <w:rFonts w:ascii="Porto Sans" w:hAnsi="Porto Sans" w:eastAsia="MS Mincho" w:cs="PortoSans-Bold"/>
              <w:bCs/>
              <w:caps/>
              <w:color w:val="000000"/>
              <w:sz w:val="18"/>
              <w:szCs w:val="18"/>
              <w:lang w:eastAsia="en-US"/>
            </w:rPr>
          </w:pPr>
          <w:r>
            <w:rPr>
              <w:rFonts w:eastAsia="MS Mincho" w:cs="PortoSans-Bold" w:ascii="Porto Sans" w:hAnsi="Porto Sans"/>
              <w:bCs/>
              <w:caps/>
              <w:color w:val="000000"/>
              <w:kern w:val="0"/>
              <w:sz w:val="18"/>
              <w:szCs w:val="18"/>
              <w:lang w:val="pt-PT" w:eastAsia="en-US" w:bidi="ar-SA"/>
            </w:rPr>
            <w:t>DECLARAÇÃO</w:t>
            <w:br/>
            <w:t>Orientação de estágios</w:t>
          </w:r>
        </w:p>
        <w:p>
          <w:pPr>
            <w:pStyle w:val="Normal"/>
            <w:widowControl/>
            <w:suppressAutoHyphens w:val="true"/>
            <w:spacing w:lineRule="auto" w:line="312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>
              <w:rFonts w:eastAsia="MS Mincho" w:cs="Times New Roman" w:ascii="Porto Sans" w:hAnsi="Porto Sans"/>
              <w:sz w:val="21"/>
              <w:szCs w:val="21"/>
              <w:lang w:eastAsia="en-US"/>
            </w:rPr>
          </w:r>
        </w:p>
        <w:p>
          <w:pPr>
            <w:pStyle w:val="Normal"/>
            <w:widowControl/>
            <w:tabs>
              <w:tab w:val="clear" w:pos="708"/>
              <w:tab w:val="left" w:pos="1120" w:leader="none"/>
            </w:tabs>
            <w:suppressAutoHyphens w:val="true"/>
            <w:spacing w:lineRule="auto" w:line="240" w:before="0" w:after="0"/>
            <w:jc w:val="left"/>
            <w:rPr>
              <w:rFonts w:ascii="Porto Sans" w:hAnsi="Porto Sans" w:eastAsia="MS Mincho" w:cs="Times New Roman"/>
              <w:sz w:val="21"/>
              <w:szCs w:val="21"/>
              <w:lang w:eastAsia="en-U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umentProtection w:edit="readOnly" w:cryptProviderType="rsaAES" w:cryptAlgorithmClass="hash" w:cryptAlgorithmType="typeAny" w:cryptAlgorithmSid="14" w:cryptSpinCount="100000" w:hash="MfYjmYE4R+uC6A8y3gGKKSxmqTmaeO65uQE5QofG44SxHRtO55HJhCwOlJ4A3Xt+DtxmedV3OHCoxpIXW5JzAw==" w:salt="iZmavxRClW74enMMTToPZQ=="/>
  <w:themeFontLang w:val="pt-P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P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225c6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pt-PT" w:eastAsia="pt-PT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stilo1Carcter" w:customStyle="1">
    <w:name w:val="Estilo1 Carácter"/>
    <w:basedOn w:val="DefaultParagraphFont"/>
    <w:link w:val="Estilo1"/>
    <w:qFormat/>
    <w:rsid w:val="00225c60"/>
    <w:rPr>
      <w:rFonts w:ascii="Proforma-Light" w:hAnsi="Proforma-Light"/>
      <w:b/>
      <w:sz w:val="20"/>
    </w:rPr>
  </w:style>
  <w:style w:type="character" w:styleId="CabealhoCarter" w:customStyle="1">
    <w:name w:val="Cabeçalho Caráter"/>
    <w:basedOn w:val="DefaultParagraphFont"/>
    <w:link w:val="Header"/>
    <w:uiPriority w:val="99"/>
    <w:qFormat/>
    <w:rsid w:val="00225c60"/>
    <w:rPr>
      <w:rFonts w:eastAsia="" w:eastAsiaTheme="minorEastAsia"/>
      <w:lang w:eastAsia="pt-PT"/>
    </w:rPr>
  </w:style>
  <w:style w:type="character" w:styleId="RodapCarter" w:customStyle="1">
    <w:name w:val="Rodapé Caráter"/>
    <w:basedOn w:val="DefaultParagraphFont"/>
    <w:link w:val="Footer"/>
    <w:uiPriority w:val="99"/>
    <w:qFormat/>
    <w:rsid w:val="00225c60"/>
    <w:rPr>
      <w:rFonts w:eastAsia="" w:eastAsiaTheme="minorEastAsia"/>
      <w:lang w:eastAsia="pt-PT"/>
    </w:rPr>
  </w:style>
  <w:style w:type="character" w:styleId="Corpodetexto2Carter" w:customStyle="1">
    <w:name w:val="Corpo de texto 2 Caráter"/>
    <w:basedOn w:val="DefaultParagraphFont"/>
    <w:link w:val="BodyText2"/>
    <w:qFormat/>
    <w:rsid w:val="00e532bb"/>
    <w:rPr>
      <w:rFonts w:ascii="Times New Roman" w:hAnsi="Times New Roman" w:eastAsia="Times New Roman" w:cs="Times New Roman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e532bb"/>
    <w:rPr>
      <w:color w:val="808080"/>
    </w:rPr>
  </w:style>
  <w:style w:type="character" w:styleId="TextodebaloCarter" w:customStyle="1">
    <w:name w:val="Texto de balão Caráter"/>
    <w:basedOn w:val="DefaultParagraphFont"/>
    <w:link w:val="BalloonText"/>
    <w:uiPriority w:val="99"/>
    <w:semiHidden/>
    <w:qFormat/>
    <w:rsid w:val="00060d16"/>
    <w:rPr>
      <w:rFonts w:ascii="Segoe UI" w:hAnsi="Segoe UI" w:eastAsia="" w:cs="Segoe UI" w:eastAsiaTheme="minorEastAsia"/>
      <w:sz w:val="18"/>
      <w:szCs w:val="18"/>
      <w:lang w:eastAsia="pt-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stilo1" w:customStyle="1">
    <w:name w:val="Estilo1"/>
    <w:basedOn w:val="Normal"/>
    <w:link w:val="Estilo1Carcter"/>
    <w:qFormat/>
    <w:rsid w:val="00225c60"/>
    <w:pPr/>
    <w:rPr>
      <w:rFonts w:ascii="Proforma-Light" w:hAnsi="Proforma-Light" w:eastAsia="Calibri" w:eastAsiaTheme="minorHAnsi"/>
      <w:b/>
      <w:sz w:val="20"/>
      <w:lang w:eastAsia="en-U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arter"/>
    <w:uiPriority w:val="99"/>
    <w:unhideWhenUsed/>
    <w:rsid w:val="00225c6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arter"/>
    <w:uiPriority w:val="99"/>
    <w:unhideWhenUsed/>
    <w:rsid w:val="00225c60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odyText2">
    <w:name w:val="Body Text 2"/>
    <w:basedOn w:val="Normal"/>
    <w:link w:val="Corpodetexto2Carter"/>
    <w:qFormat/>
    <w:rsid w:val="00e532bb"/>
    <w:pPr>
      <w:spacing w:lineRule="auto" w:line="240" w:before="0" w:after="0"/>
      <w:jc w:val="both"/>
    </w:pPr>
    <w:rPr>
      <w:rFonts w:ascii="Times New Roman" w:hAnsi="Times New Roman" w:eastAsia="Times New Roman" w:cs="Times New Roman"/>
      <w:sz w:val="20"/>
      <w:szCs w:val="20"/>
      <w:lang w:eastAsia="en-US"/>
    </w:rPr>
  </w:style>
  <w:style w:type="paragraph" w:styleId="BalloonText">
    <w:name w:val="Balloon Text"/>
    <w:basedOn w:val="Normal"/>
    <w:link w:val="TextodebaloCarter"/>
    <w:uiPriority w:val="99"/>
    <w:semiHidden/>
    <w:unhideWhenUsed/>
    <w:qFormat/>
    <w:rsid w:val="00060d1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elha">
    <w:name w:val="Table Grid"/>
    <w:basedOn w:val="Tabelanormal"/>
    <w:uiPriority w:val="59"/>
    <w:rsid w:val="00d2174f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LibreOffice/25.2.3.2$Linux_X86_64 LibreOffice_project/520$Build-2</Application>
  <AppVersion>15.0000</AppVersion>
  <DocSecurity>8</DocSecurity>
  <Pages>1</Pages>
  <Words>133</Words>
  <Characters>904</Characters>
  <CharactersWithSpaces>1005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2023-03-10T16:20:00Z</dcterms:created>
  <dc:creator>Ana Silvia Guimarães Granadeiro Cortesão de Sousa</dc:creator>
  <dc:description/>
  <dc:language>en-US</dc:language>
  <cp:lastModifiedBy/>
  <cp:lastPrinted>2020-01-27T16:04:00Z</cp:lastPrinted>
  <dcterms:modified xsi:type="dcterms:W3CDTF">2025-05-13T11:18:48Z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