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eorgia" w:cs="Georgia" w:eastAsia="Georgia" w:hAnsi="Georgia"/>
          <w:b/>
          <w:bCs/>
          <w:color w:val="2B5C8A"/>
          <w:sz w:val="52"/>
          <w:szCs w:val="52"/>
        </w:rPr>
        <w:t xml:space="preserve">VOICE REPLICATION</w:t>
      </w:r>
    </w:p>
    <w:p>
      <w:pPr>
        <w:spacing w:after="40"/>
        <w:jc w:val="center"/>
      </w:pPr>
      <w:r>
        <w:rPr>
          <w:rFonts w:ascii="Georgia" w:cs="Georgia" w:eastAsia="Georgia" w:hAnsi="Georgia"/>
          <w:b/>
          <w:bCs/>
          <w:color w:val="2B5C8A"/>
          <w:sz w:val="44"/>
          <w:szCs w:val="44"/>
        </w:rPr>
        <w:t xml:space="preserve">TRADE SECRET METHODOLOGY</w:t>
      </w:r>
    </w:p>
    <w:p>
      <w:pPr>
        <w:pBdr>
          <w:bottom w:val="single" w:color="2B5C8A" w:sz="4"/>
        </w:pBdr>
        <w:spacing w:after="400"/>
        <w:jc w:val="center"/>
      </w:pPr>
    </w:p>
    <w:p>
      <w:pPr>
        <w:spacing w:after="80"/>
        <w:jc w:val="center"/>
      </w:pPr>
      <w:r>
        <w:rPr>
          <w:rFonts w:ascii="Georgia" w:cs="Georgia" w:eastAsia="Georgia" w:hAnsi="Georgia"/>
          <w:i/>
          <w:iCs/>
          <w:color w:val="555555"/>
          <w:sz w:val="24"/>
          <w:szCs w:val="24"/>
        </w:rPr>
        <w:t xml:space="preserve">A Unified Framework for Forensic Voice Analysis,</w:t>
      </w:r>
    </w:p>
    <w:p>
      <w:pPr>
        <w:spacing w:after="80"/>
        <w:jc w:val="center"/>
      </w:pPr>
      <w:r>
        <w:rPr>
          <w:rFonts w:ascii="Georgia" w:cs="Georgia" w:eastAsia="Georgia" w:hAnsi="Georgia"/>
          <w:i/>
          <w:iCs/>
          <w:color w:val="555555"/>
          <w:sz w:val="24"/>
          <w:szCs w:val="24"/>
        </w:rPr>
        <w:t xml:space="preserve">Encoding, and AI Reproduction of Human Writing Voice</w:t>
      </w:r>
    </w:p>
    <w:p>
      <w:pPr>
        <w:spacing w:after="600"/>
        <w:jc w:val="center"/>
      </w:pPr>
      <w:r>
        <w:rPr>
          <w:rFonts w:ascii="Georgia" w:cs="Georgia" w:eastAsia="Georgia" w:hAnsi="Georgia"/>
          <w:i/>
          <w:iCs/>
          <w:color w:val="777777"/>
          <w:sz w:val="20"/>
          <w:szCs w:val="20"/>
        </w:rPr>
        <w:t xml:space="preserve">Synthesized from the Advanced Voice Replication &amp; Linguistic DNA Frameworks</w:t>
      </w:r>
    </w:p>
    <w:p>
      <w:pPr>
        <w:spacing w:after="80"/>
        <w:jc w:val="center"/>
      </w:pPr>
      <w:r>
        <w:rPr>
          <w:rFonts w:ascii="Georgia" w:cs="Georgia" w:eastAsia="Georgia" w:hAnsi="Georgia"/>
          <w:b/>
          <w:bCs/>
          <w:sz w:val="22"/>
          <w:szCs w:val="22"/>
        </w:rPr>
        <w:t xml:space="preserve">WITH COMPLETE CASE STUDY:</w:t>
      </w:r>
    </w:p>
    <w:p>
      <w:pPr>
        <w:spacing w:after="200"/>
        <w:jc w:val="center"/>
      </w:pPr>
      <w:r>
        <w:rPr>
          <w:rFonts w:ascii="Georgia" w:cs="Georgia" w:eastAsia="Georgia" w:hAnsi="Georgia"/>
          <w:b/>
          <w:bCs/>
          <w:color w:val="2B5C8A"/>
          <w:sz w:val="26"/>
          <w:szCs w:val="26"/>
        </w:rPr>
        <w:t xml:space="preserve">Seneca the Younger — Epistulae Morales ad Lucilium</w:t>
      </w:r>
    </w:p>
    <w:p>
      <w:pPr>
        <w:spacing w:after="80"/>
        <w:jc w:val="center"/>
      </w:pPr>
      <w:r>
        <w:rPr>
          <w:rFonts w:ascii="Georgia" w:cs="Georgia" w:eastAsia="Georgia" w:hAnsi="Georgia"/>
          <w:i/>
          <w:iCs/>
          <w:color w:val="555555"/>
          <w:sz w:val="20"/>
          <w:szCs w:val="20"/>
        </w:rPr>
        <w:t xml:space="preserve">124 Letters · ~85,000 Words · 2,000 Years of Influence</w:t>
      </w:r>
    </w:p>
    <w:p>
      <w:pPr>
        <w:spacing w:before="800"/>
      </w:pPr>
    </w:p>
    <w:p>
      <w:pPr>
        <w:spacing w:after="40"/>
        <w:jc w:val="center"/>
      </w:pPr>
      <w:r>
        <w:rPr>
          <w:rFonts w:ascii="Georgia" w:cs="Georgia" w:eastAsia="Georgia" w:hAnsi="Georgia"/>
          <w:b/>
          <w:bCs/>
          <w:sz w:val="24"/>
          <w:szCs w:val="24"/>
        </w:rPr>
        <w:t xml:space="preserve">Brady Smallwood</w:t>
      </w:r>
    </w:p>
    <w:p>
      <w:pPr>
        <w:spacing w:after="40"/>
        <w:jc w:val="center"/>
      </w:pPr>
      <w:r>
        <w:rPr>
          <w:rFonts w:ascii="Georgia" w:cs="Georgia" w:eastAsia="Georgia" w:hAnsi="Georgia"/>
          <w:sz w:val="22"/>
          <w:szCs w:val="22"/>
        </w:rPr>
        <w:t xml:space="preserve">Sycamore Lane Holdings</w:t>
      </w:r>
    </w:p>
    <w:p>
      <w:pPr>
        <w:spacing w:after="40"/>
        <w:jc w:val="center"/>
      </w:pPr>
      <w:r>
        <w:rPr>
          <w:rFonts w:ascii="Georgia" w:cs="Georgia" w:eastAsia="Georgia" w:hAnsi="Georgia"/>
          <w:sz w:val="22"/>
          <w:szCs w:val="22"/>
        </w:rPr>
        <w:t xml:space="preserve">March 2026</w:t>
      </w:r>
    </w:p>
    <w:p>
      <w:pPr>
        <w:spacing w:after="200"/>
        <w:jc w:val="center"/>
      </w:pPr>
      <w:r>
        <w:rPr>
          <w:rFonts w:ascii="Georgia" w:cs="Georgia" w:eastAsia="Georgia" w:hAnsi="Georgia"/>
          <w:b/>
          <w:bCs/>
          <w:color w:val="CC0000"/>
          <w:sz w:val="20"/>
          <w:szCs w:val="20"/>
        </w:rPr>
        <w:t xml:space="preserve">CONFIDENTIAL — TRADE SECRET</w:t>
      </w:r>
    </w:p>
    <w:p>
      <w:r>
        <w:br w:type="page"/>
      </w:r>
    </w:p>
    <w:p>
      <w:pPr>
        <w:pStyle w:val="Heading1"/>
        <w:spacing w:after="200" w:before="360"/>
      </w:pPr>
      <w:r>
        <w:rPr>
          <w:rFonts w:ascii="Georgia" w:cs="Georgia" w:eastAsia="Georgia" w:hAnsi="Georgia"/>
          <w:b/>
          <w:bCs/>
          <w:sz w:val="32"/>
          <w:szCs w:val="32"/>
        </w:rPr>
        <w:t xml:space="preserve">Trade Secret Notice</w:t>
      </w:r>
    </w:p>
    <w:p>
      <w:pPr>
        <w:spacing w:after="160" w:line="300"/>
      </w:pPr>
      <w:r>
        <w:rPr>
          <w:rFonts w:ascii="Georgia" w:cs="Georgia" w:eastAsia="Georgia" w:hAnsi="Georgia"/>
          <w:sz w:val="22"/>
          <w:szCs w:val="22"/>
        </w:rPr>
        <w:t xml:space="preserve">This document and the methodology it describes constitute trade secrets of Sycamore Lane Holdings, LLC. The frameworks, analytical processes, prompt architectures, validation protocols, and synthesis techniques contained herein represent proprietary intellectual property developed through original research and applied experimentation.</w:t>
      </w:r>
    </w:p>
    <w:p>
      <w:pPr>
        <w:spacing w:after="160" w:line="300"/>
      </w:pPr>
      <w:r>
        <w:rPr>
          <w:rFonts w:ascii="Georgia" w:cs="Georgia" w:eastAsia="Georgia" w:hAnsi="Georgia"/>
          <w:sz w:val="22"/>
          <w:szCs w:val="22"/>
        </w:rPr>
        <w:t xml:space="preserve">This methodology is not publicly known, derives independent economic value from not being publicly known, and is subject to reasonable efforts to maintain its secrecy. Unauthorized disclosure, reproduction, or use of this methodology—in whole or in part—is prohibited.</w:t>
      </w:r>
    </w:p>
    <w:p>
      <w:pPr>
        <w:spacing w:after="160" w:line="300"/>
      </w:pPr>
      <w:r>
        <w:rPr>
          <w:rFonts w:ascii="Georgia" w:cs="Georgia" w:eastAsia="Georgia" w:hAnsi="Georgia"/>
          <w:sz w:val="22"/>
          <w:szCs w:val="22"/>
        </w:rPr>
        <w:t xml:space="preserve">Recipients of this document are bound by applicable non-disclosure agreements. If you have received this document in error, destroy all copies and notify the author immediately.</w:t>
      </w:r>
    </w:p>
    <w:p>
      <w:r>
        <w:br w:type="page"/>
      </w:r>
    </w:p>
    <w:p>
      <w:pPr>
        <w:pStyle w:val="Heading1"/>
        <w:spacing w:after="200" w:before="360"/>
      </w:pPr>
      <w:r>
        <w:rPr>
          <w:rFonts w:ascii="Georgia" w:cs="Georgia" w:eastAsia="Georgia" w:hAnsi="Georgia"/>
          <w:b/>
          <w:bCs/>
          <w:sz w:val="32"/>
          <w:szCs w:val="32"/>
        </w:rPr>
        <w:t xml:space="preserve">Executive Summary</w:t>
      </w:r>
    </w:p>
    <w:p>
      <w:pPr>
        <w:spacing w:after="160" w:line="300"/>
      </w:pPr>
      <w:r>
        <w:rPr>
          <w:rFonts w:ascii="Georgia" w:cs="Georgia" w:eastAsia="Georgia" w:hAnsi="Georgia"/>
          <w:sz w:val="22"/>
          <w:szCs w:val="22"/>
        </w:rPr>
        <w:t xml:space="preserve">This document presents a unified, proprietary methodology for capturing a human writing voice and encoding it into a structured profile that an AI system can reproduce with consistent fidelity. It is the synthesis of two independently developed frameworks—Advanced Voice Replication (AVR) and Linguistic DNA (LDNA)—into a single system that is greater than either alone.</w:t>
      </w:r>
    </w:p>
    <w:p>
      <w:pPr>
        <w:spacing w:after="160" w:line="300"/>
      </w:pPr>
      <w:r>
        <w:rPr>
          <w:rFonts w:ascii="Georgia" w:cs="Georgia" w:eastAsia="Georgia" w:hAnsi="Georgia"/>
          <w:sz w:val="22"/>
          <w:szCs w:val="22"/>
        </w:rPr>
        <w:t xml:space="preserve">The AVR framework, built from a 1.36-million-word newspaper column corpus, excels at quantitative fingerprinting and deep structural analysis. The LDNA framework, built from professional and personal communications, excels at rapid voice profiling and practical deployment across contexts. The unified methodology takes the best of both: AVR’s analytical rigor and LDNA’s operational speed.</w:t>
      </w:r>
    </w:p>
    <w:p>
      <w:pPr>
        <w:spacing w:after="160" w:line="300"/>
      </w:pPr>
      <w:r>
        <w:rPr>
          <w:rFonts w:ascii="Georgia" w:cs="Georgia" w:eastAsia="Georgia" w:hAnsi="Georgia"/>
          <w:sz w:val="22"/>
          <w:szCs w:val="22"/>
        </w:rPr>
        <w:t xml:space="preserve">The result is a seven-phase process that moves from corpus assembly through forensic analysis, profile encoding, prompt architecture, and adversarial validation. The success criterion remains binary: can the AI-generated text fool the original author—or, in the case of historical figures, domain experts?</w:t>
      </w:r>
    </w:p>
    <w:p>
      <w:pPr>
        <w:spacing w:after="160" w:line="300"/>
      </w:pPr>
      <w:r>
        <w:rPr>
          <w:rFonts w:ascii="Georgia" w:cs="Georgia" w:eastAsia="Georgia" w:hAnsi="Georgia"/>
          <w:sz w:val="22"/>
          <w:szCs w:val="22"/>
        </w:rPr>
        <w:t xml:space="preserve">This document demonstrates the full methodology through a case study on Lucius Annaeus Seneca (4 BC – AD 65), the Roman Stoic philosopher, applying every analytical layer to his Epistulae Morales ad Lucilium.</w:t>
      </w:r>
    </w:p>
    <w:p>
      <w:r>
        <w:br w:type="page"/>
      </w:r>
    </w:p>
    <w:p>
      <w:pPr>
        <w:spacing w:after="400" w:before="1200"/>
        <w:jc w:val="center"/>
      </w:pPr>
      <w:r>
        <w:rPr>
          <w:rFonts w:ascii="Georgia" w:cs="Georgia" w:eastAsia="Georgia" w:hAnsi="Georgia"/>
          <w:b/>
          <w:bCs/>
          <w:color w:val="2B5C8A"/>
          <w:sz w:val="36"/>
          <w:szCs w:val="36"/>
        </w:rPr>
        <w:t xml:space="preserve">PART I</w:t>
      </w:r>
    </w:p>
    <w:p>
      <w:pPr>
        <w:spacing w:after="600"/>
        <w:jc w:val="center"/>
      </w:pPr>
      <w:r>
        <w:rPr>
          <w:rFonts w:ascii="Georgia" w:cs="Georgia" w:eastAsia="Georgia" w:hAnsi="Georgia"/>
          <w:color w:val="2B5C8A"/>
          <w:sz w:val="28"/>
          <w:szCs w:val="28"/>
        </w:rPr>
        <w:t xml:space="preserve">THE UNIFIED METHODOLOGY</w:t>
      </w:r>
    </w:p>
    <w:p>
      <w:pPr>
        <w:pStyle w:val="Heading1"/>
        <w:spacing w:after="200" w:before="360"/>
      </w:pPr>
      <w:r>
        <w:rPr>
          <w:rFonts w:ascii="Georgia" w:cs="Georgia" w:eastAsia="Georgia" w:hAnsi="Georgia"/>
          <w:b/>
          <w:bCs/>
          <w:sz w:val="32"/>
          <w:szCs w:val="32"/>
        </w:rPr>
        <w:t xml:space="preserve">1. Why Two Frameworks Become One</w:t>
      </w:r>
    </w:p>
    <w:p>
      <w:pPr>
        <w:spacing w:after="160" w:line="300"/>
      </w:pPr>
      <w:r>
        <w:rPr>
          <w:rFonts w:ascii="Georgia" w:cs="Georgia" w:eastAsia="Georgia" w:hAnsi="Georgia"/>
          <w:sz w:val="22"/>
          <w:szCs w:val="22"/>
        </w:rPr>
        <w:t xml:space="preserve">The Advanced Voice Replication framework and the Linguistic DNA framework were developed for different source material types and different deployment scenarios. Their strengths and blind spots are complementary: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3780"/>
      </w:tblGrid>
      <w:tr>
        <w:tc>
          <w:tcPr>
            <w:tcW w:type="dxa" w:w="1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Dimension</w:t>
            </w:r>
          </w:p>
        </w:tc>
        <w:tc>
          <w:tcPr>
            <w:tcW w:type="dxa" w:w="189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AVR Strength</w:t>
            </w:r>
          </w:p>
        </w:tc>
        <w:tc>
          <w:tcPr>
            <w:tcW w:type="dxa" w:w="189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LDNA Strength</w:t>
            </w:r>
          </w:p>
        </w:tc>
        <w:tc>
          <w:tcPr>
            <w:tcW w:type="dxa" w:w="37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Unified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Corpus size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Massive (1M+ words)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Lean (20+ samples)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Scales from 20 samples to millions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Quantitative rigor</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Deep statistical fingerprint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Light metrics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Full statistical envelope with minimum-viable 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Structural analysis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Complete arc mapping</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Narrative shape only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Full arc + opening/closing + pivot mechanics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Tonal modeling</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Anti-saccharine principle</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Emotional register mapping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Bandwidth + deflection + topic-conditioned modulation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Deployment speed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Weeks of analysis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Days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Tiered: rapid profile in 48 hours, deep profile in 2 weeks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Validation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Spot-the-Fake blind test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Blind Read test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Multi-round adversarial testing with iterative refinement</w:t>
            </w:r>
          </w:p>
        </w:tc>
      </w:tr>
    </w:tbl>
    <w:p>
      <w:pPr>
        <w:spacing w:after="80"/>
      </w:pPr>
    </w:p>
    <w:p>
      <w:pPr>
        <w:spacing w:after="160" w:line="300"/>
      </w:pPr>
      <w:r>
        <w:rPr>
          <w:rFonts w:ascii="Georgia" w:cs="Georgia" w:eastAsia="Georgia" w:hAnsi="Georgia"/>
          <w:sz w:val="22"/>
          <w:szCs w:val="22"/>
        </w:rPr>
        <w:t xml:space="preserve">The unified methodology preserves both frameworks’ core innovations: AVR’s five-layer analytical stack (Quantitative, Lexical, Structural, Tonal, Thematic) and LDNA’s twelve-dimension profiling system (Voice Signature through Synthesis Rules). It merges them into a seven-phase pipeline.</w:t>
      </w:r>
    </w:p>
    <w:p>
      <w:pPr>
        <w:pStyle w:val="Heading1"/>
        <w:spacing w:after="200" w:before="360"/>
      </w:pPr>
      <w:r>
        <w:rPr>
          <w:rFonts w:ascii="Georgia" w:cs="Georgia" w:eastAsia="Georgia" w:hAnsi="Georgia"/>
          <w:b/>
          <w:bCs/>
          <w:sz w:val="32"/>
          <w:szCs w:val="32"/>
        </w:rPr>
        <w:t xml:space="preserve">2. The Seven-Phase Pipeline</w:t>
      </w:r>
    </w:p>
    <w:p>
      <w:pPr>
        <w:spacing w:after="160" w:line="300"/>
      </w:pPr>
      <w:r>
        <w:rPr>
          <w:rFonts w:ascii="Georgia" w:cs="Georgia" w:eastAsia="Georgia" w:hAnsi="Georgia"/>
          <w:sz w:val="22"/>
          <w:szCs w:val="22"/>
        </w:rPr>
        <w:t xml:space="preserve">Every voice replication engagement follows this sequence. The phases are sequential—each builds on the last—but the system is designed for iteration. Phase 7 feeds corrections back into Phases 2–5.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Name</w:t>
            </w:r>
          </w:p>
        </w:tc>
        <w:tc>
          <w:tcPr>
            <w:tcW w:type="dxa" w:w="59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Deliverable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Corpus Assembly &amp; Triage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Clean, attributed, machine-readable source material with quality scores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Quantitative Fingerprint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Statistical envelope: targets + acceptable ranges for all core metrics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Lexical Signature Extraction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Ranked phrase inventory, hedging map, vocabulary DNA (gravitates/avoids)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Architectural Mapping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Opening patterns, narrative arc, pivot mechanics, closing patterns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Tonal &amp; Thematic DNA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Emotional register, humor profile, anti-saccharine mechanisms, topic-voice matrix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Profile Encoding &amp; Prompt Architecture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Multi-layer generation prompt with anti-tells layer + synthesis algorithm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Adversarial Validation &amp; Iteration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Blind test results, failure mode catalog, refined profile</w:t>
            </w:r>
          </w:p>
        </w:tc>
      </w:tr>
    </w:tbl>
    <w:p>
      <w:pPr>
        <w:spacing w:after="80"/>
      </w:pPr>
    </w:p>
    <w:p>
      <w:pPr>
        <w:pStyle w:val="Heading1"/>
        <w:spacing w:after="200" w:before="360"/>
      </w:pPr>
      <w:r>
        <w:rPr>
          <w:rFonts w:ascii="Georgia" w:cs="Georgia" w:eastAsia="Georgia" w:hAnsi="Georgia"/>
          <w:b/>
          <w:bCs/>
          <w:sz w:val="32"/>
          <w:szCs w:val="32"/>
        </w:rPr>
        <w:t xml:space="preserve">3. Phase 1: Corpus Assembly &amp; Triage</w:t>
      </w:r>
    </w:p>
    <w:p>
      <w:pPr>
        <w:spacing w:after="160" w:line="300"/>
      </w:pPr>
      <w:r>
        <w:rPr>
          <w:rFonts w:ascii="Georgia" w:cs="Georgia" w:eastAsia="Georgia" w:hAnsi="Georgia"/>
          <w:sz w:val="22"/>
          <w:szCs w:val="22"/>
        </w:rPr>
        <w:t xml:space="preserve">The corpus is the raw material. Everything downstream depends on its quality. The unified methodology defines three tiers of source material: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80"/>
        <w:gridCol w:w="2580"/>
      </w:tblGrid>
      <w:tr>
        <w:tc>
          <w:tcPr>
            <w:tcW w:type="dxa" w:w="1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Material Type</w:t>
            </w:r>
          </w:p>
        </w:tc>
        <w:tc>
          <w:tcPr>
            <w:tcW w:type="dxa" w:w="25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Minimum for Rapid Profile</w:t>
            </w:r>
          </w:p>
        </w:tc>
        <w:tc>
          <w:tcPr>
            <w:tcW w:type="dxa" w:w="258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Minimum for Deep Profile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 (Primary)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Published, single-author, consistent format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20 pieces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200+ pieces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 (Supporting)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Personal writing: emails, letters, journals, transcripts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5 samples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50+ samples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 (Context)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Biographical data, stated influences, audience info</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Basic bio</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Comprehensive biographical dossier</w:t>
            </w:r>
          </w:p>
        </w:tc>
      </w:tr>
    </w:tbl>
    <w:p>
      <w:pPr>
        <w:spacing w:after="80"/>
      </w:pPr>
    </w:p>
    <w:p>
      <w:pPr>
        <w:pStyle w:val="Heading2"/>
        <w:spacing w:after="160" w:before="280"/>
      </w:pPr>
      <w:r>
        <w:rPr>
          <w:rFonts w:ascii="Georgia" w:cs="Georgia" w:eastAsia="Georgia" w:hAnsi="Georgia"/>
          <w:b/>
          <w:bCs/>
          <w:sz w:val="26"/>
          <w:szCs w:val="26"/>
        </w:rPr>
        <w:t xml:space="preserve">3.1 Quality Criteria</w:t>
      </w:r>
    </w:p>
    <w:p>
      <w:pPr>
        <w:spacing w:after="160" w:line="300"/>
      </w:pPr>
      <w:r>
        <w:rPr>
          <w:rFonts w:ascii="Georgia" w:cs="Georgia" w:eastAsia="Georgia" w:hAnsi="Georgia"/>
          <w:sz w:val="22"/>
          <w:szCs w:val="22"/>
        </w:rPr>
        <w:t xml:space="preserve">Every source sample must pass four tests: (1) Single-author attribution—no ghostwritten or committee content. (2) Format consistency—same genre, publication, approximate length within tier. (3) Temporal span—minimum three years for Tier A to capture voice evolution. (4) Thematic breadth—the author writing across multiple subjects, because voice is revealed in how it adapts to topic, not in how it handles one topic.</w:t>
      </w:r>
    </w:p>
    <w:p>
      <w:pPr>
        <w:pStyle w:val="Heading2"/>
        <w:spacing w:after="160" w:before="280"/>
      </w:pPr>
      <w:r>
        <w:rPr>
          <w:rFonts w:ascii="Georgia" w:cs="Georgia" w:eastAsia="Georgia" w:hAnsi="Georgia"/>
          <w:b/>
          <w:bCs/>
          <w:sz w:val="26"/>
          <w:szCs w:val="26"/>
        </w:rPr>
        <w:t xml:space="preserve">3.2 The Supplementary Multiplier</w:t>
      </w:r>
    </w:p>
    <w:p>
      <w:pPr>
        <w:spacing w:after="160" w:line="300"/>
      </w:pPr>
      <w:r>
        <w:rPr>
          <w:rFonts w:ascii="Georgia" w:cs="Georgia" w:eastAsia="Georgia" w:hAnsi="Georgia"/>
          <w:sz w:val="22"/>
          <w:szCs w:val="22"/>
        </w:rPr>
        <w:t xml:space="preserve">Tier B and C materials function as multipliers on Tier A. A 50-piece Tier A corpus with rich Tier B and C material will outperform a 200-piece Tier A corpus with no supplementary context. Biographical context is not decoration—it is a tonal calibrator. Knowing why someone writes the way they do prevents the model from producing technically accurate but emotionally wrong output.</w:t>
      </w:r>
    </w:p>
    <w:p>
      <w:pPr>
        <w:pStyle w:val="Heading1"/>
        <w:spacing w:after="200" w:before="360"/>
      </w:pPr>
      <w:r>
        <w:rPr>
          <w:rFonts w:ascii="Georgia" w:cs="Georgia" w:eastAsia="Georgia" w:hAnsi="Georgia"/>
          <w:b/>
          <w:bCs/>
          <w:sz w:val="32"/>
          <w:szCs w:val="32"/>
        </w:rPr>
        <w:t xml:space="preserve">4. Phase 2: Quantitative Fingerprint</w:t>
      </w:r>
    </w:p>
    <w:p>
      <w:pPr>
        <w:spacing w:after="160" w:line="300"/>
      </w:pPr>
      <w:r>
        <w:rPr>
          <w:rFonts w:ascii="Georgia" w:cs="Georgia" w:eastAsia="Georgia" w:hAnsi="Georgia"/>
          <w:sz w:val="22"/>
          <w:szCs w:val="22"/>
        </w:rPr>
        <w:t xml:space="preserve">The quantitative fingerprint establishes the statistical envelope—hard constraints that keep generated text within the author’s measurable patterns. These are guardrails, not the voice itself.</w:t>
      </w:r>
    </w:p>
    <w:p>
      <w:pPr>
        <w:pStyle w:val="Heading2"/>
        <w:spacing w:after="160" w:before="280"/>
      </w:pPr>
      <w:r>
        <w:rPr>
          <w:rFonts w:ascii="Georgia" w:cs="Georgia" w:eastAsia="Georgia" w:hAnsi="Georgia"/>
          <w:b/>
          <w:bCs/>
          <w:sz w:val="26"/>
          <w:szCs w:val="26"/>
        </w:rPr>
        <w:t xml:space="preserve">4.1 Core Metrics Battery</w:t>
      </w:r>
    </w:p>
    <w:p>
      <w:pPr>
        <w:spacing w:after="160" w:line="300"/>
      </w:pPr>
      <w:r>
        <w:rPr>
          <w:rFonts w:ascii="Georgia" w:cs="Georgia" w:eastAsia="Georgia" w:hAnsi="Georgia"/>
          <w:sz w:val="22"/>
          <w:szCs w:val="22"/>
        </w:rPr>
        <w:t xml:space="preserve">The following metrics are extracted from the full Tier A corpus. Targets represent means; ranges represent one standard deviation. All metrics are calculated per piece, not across the corpus as a whole.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What It Encodes</w:t>
            </w:r>
          </w:p>
        </w:tc>
        <w:tc>
          <w:tcPr>
            <w:tcW w:type="dxa" w:w="39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How to Calculate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Words per piece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Cognitive pacing, depth preference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Total words / piece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Sentences per piece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Granularity of thought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Total sentences / piece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Average sentence length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Conversational vs. academic cadence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Words / sentences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Sentence length variance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Rhythm—uniform vs. varied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Standard deviation of sentence lengths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First-person pronoun density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Self-positioning (inside vs. outside the story)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I/me/my/we count / total words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Second-person pronoun density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Reader engagement, direct address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You/your count / total words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Em-dash frequency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Mid-thought pivots, interruption style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Count per piece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Parenthetical frequency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Fourth-wall breaks, asides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Count per piece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Question frequency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Rhetorical engagement pattern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Question marks per piece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Exclamation frequency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Emotional punctuation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Exclamation marks per piece</w:t>
            </w:r>
          </w:p>
        </w:tc>
      </w:tr>
    </w:tbl>
    <w:p>
      <w:pPr>
        <w:spacing w:after="80"/>
      </w:pPr>
    </w:p>
    <w:p>
      <w:pPr>
        <w:pStyle w:val="Heading2"/>
        <w:spacing w:after="160" w:before="280"/>
      </w:pPr>
      <w:r>
        <w:rPr>
          <w:rFonts w:ascii="Georgia" w:cs="Georgia" w:eastAsia="Georgia" w:hAnsi="Georgia"/>
          <w:b/>
          <w:bCs/>
          <w:sz w:val="26"/>
          <w:szCs w:val="26"/>
        </w:rPr>
        <w:t xml:space="preserve">4.2 Why Variance Matters More Than Averages</w:t>
      </w:r>
    </w:p>
    <w:p>
      <w:pPr>
        <w:spacing w:after="160" w:line="300"/>
      </w:pPr>
      <w:r>
        <w:rPr>
          <w:rFonts w:ascii="Georgia" w:cs="Georgia" w:eastAsia="Georgia" w:hAnsi="Georgia"/>
          <w:sz w:val="22"/>
          <w:szCs w:val="22"/>
        </w:rPr>
        <w:t xml:space="preserve">Two authors can have identical average sentence lengths but completely different writing rhythms. The author who alternates between 5-word punches and 30-word flowing sentences produces a fundamentally different reading experience than the author who writes mostly 15-word sentences. The variance metric captures this. High variance means a rhythmic, dynamic voice. Low variance means a steady, metronomic one.</w:t>
      </w:r>
    </w:p>
    <w:p>
      <w:pPr>
        <w:pStyle w:val="Heading1"/>
        <w:spacing w:after="200" w:before="360"/>
      </w:pPr>
      <w:r>
        <w:rPr>
          <w:rFonts w:ascii="Georgia" w:cs="Georgia" w:eastAsia="Georgia" w:hAnsi="Georgia"/>
          <w:b/>
          <w:bCs/>
          <w:sz w:val="32"/>
          <w:szCs w:val="32"/>
        </w:rPr>
        <w:t xml:space="preserve">5. Phase 3: Lexical Signature Extraction</w:t>
      </w:r>
    </w:p>
    <w:p>
      <w:pPr>
        <w:spacing w:after="160" w:line="300"/>
      </w:pPr>
      <w:r>
        <w:rPr>
          <w:rFonts w:ascii="Georgia" w:cs="Georgia" w:eastAsia="Georgia" w:hAnsi="Georgia"/>
          <w:sz w:val="22"/>
          <w:szCs w:val="22"/>
        </w:rPr>
        <w:t xml:space="preserve">The lexical signature captures not just what words the author uses, but the functional role each word plays in the voice. This is where generic “write in the style of” approaches fail—they match vocabulary without understanding function.</w:t>
      </w:r>
    </w:p>
    <w:p>
      <w:pPr>
        <w:pStyle w:val="Heading2"/>
        <w:spacing w:after="160" w:before="280"/>
      </w:pPr>
      <w:r>
        <w:rPr>
          <w:rFonts w:ascii="Georgia" w:cs="Georgia" w:eastAsia="Georgia" w:hAnsi="Georgia"/>
          <w:b/>
          <w:bCs/>
          <w:sz w:val="26"/>
          <w:szCs w:val="26"/>
        </w:rPr>
        <w:t xml:space="preserve">5.1 The Functional Phrase Inventory</w:t>
      </w:r>
    </w:p>
    <w:p>
      <w:pPr>
        <w:spacing w:after="160" w:line="300"/>
      </w:pPr>
      <w:r>
        <w:rPr>
          <w:rFonts w:ascii="Georgia" w:cs="Georgia" w:eastAsia="Georgia" w:hAnsi="Georgia"/>
          <w:sz w:val="22"/>
          <w:szCs w:val="22"/>
        </w:rPr>
        <w:t xml:space="preserve">Every high-frequency phrase is cataloged with three data points: raw count (how often it appears), functional role (what it does in the voice), and contextual triggers (when it tends to appear). A word like “but” is not just a conjunction—for some writers, it is their primary rhetorical move, their way of pivoting between concession and conviction.</w:t>
      </w:r>
    </w:p>
    <w:p>
      <w:pPr>
        <w:pStyle w:val="Heading2"/>
        <w:spacing w:after="160" w:before="280"/>
      </w:pPr>
      <w:r>
        <w:rPr>
          <w:rFonts w:ascii="Georgia" w:cs="Georgia" w:eastAsia="Georgia" w:hAnsi="Georgia"/>
          <w:b/>
          <w:bCs/>
          <w:sz w:val="26"/>
          <w:szCs w:val="26"/>
        </w:rPr>
        <w:t xml:space="preserve">5.2 Hedging Density as Voice</w:t>
      </w:r>
    </w:p>
    <w:p>
      <w:pPr>
        <w:spacing w:after="160" w:line="300"/>
      </w:pPr>
      <w:r>
        <w:rPr>
          <w:rFonts w:ascii="Georgia" w:cs="Georgia" w:eastAsia="Georgia" w:hAnsi="Georgia"/>
          <w:sz w:val="22"/>
          <w:szCs w:val="22"/>
        </w:rPr>
        <w:t xml:space="preserve">Hedging markers—“I think,” “maybe,” “probably,” “perhaps”—are one of the most reliable voice discriminators. Their combined density, measured as occurrences per thousand words, separates authoritative voices from thinking-out-loud voices. AI systems typically under-hedge because they are trained to be authoritative. Replicating a high-hedging voice requires intentionally dialing up tentativeness.</w:t>
      </w:r>
    </w:p>
    <w:p>
      <w:pPr>
        <w:pStyle w:val="Heading2"/>
        <w:spacing w:after="160" w:before="280"/>
      </w:pPr>
      <w:r>
        <w:rPr>
          <w:rFonts w:ascii="Georgia" w:cs="Georgia" w:eastAsia="Georgia" w:hAnsi="Georgia"/>
          <w:b/>
          <w:bCs/>
          <w:sz w:val="26"/>
          <w:szCs w:val="26"/>
        </w:rPr>
        <w:t xml:space="preserve">5.3 Vocabulary DNA: Gravitates / Avoids / Never</w:t>
      </w:r>
    </w:p>
    <w:p>
      <w:pPr>
        <w:spacing w:after="160" w:line="300"/>
      </w:pPr>
      <w:r>
        <w:rPr>
          <w:rFonts w:ascii="Georgia" w:cs="Georgia" w:eastAsia="Georgia" w:hAnsi="Georgia"/>
          <w:sz w:val="22"/>
          <w:szCs w:val="22"/>
        </w:rPr>
        <w:t xml:space="preserve">Three lists, each critical. The “Gravitates” list captures signature words and phrases the author reaches for repeatedly. The “Avoids” list captures words that are common in the genre but absent from this author’s work. The “Never” list captures words whose presence would immediately signal inauthenticity—these function as anti-tells in the generation prompt.</w:t>
      </w:r>
    </w:p>
    <w:p>
      <w:pPr>
        <w:pStyle w:val="Heading1"/>
        <w:spacing w:after="200" w:before="360"/>
      </w:pPr>
      <w:r>
        <w:rPr>
          <w:rFonts w:ascii="Georgia" w:cs="Georgia" w:eastAsia="Georgia" w:hAnsi="Georgia"/>
          <w:b/>
          <w:bCs/>
          <w:sz w:val="32"/>
          <w:szCs w:val="32"/>
        </w:rPr>
        <w:t xml:space="preserve">6. Phase 4: Architectural Mapping</w:t>
      </w:r>
    </w:p>
    <w:p>
      <w:pPr>
        <w:spacing w:after="160" w:line="300"/>
      </w:pPr>
      <w:r>
        <w:rPr>
          <w:rFonts w:ascii="Georgia" w:cs="Georgia" w:eastAsia="Georgia" w:hAnsi="Georgia"/>
          <w:sz w:val="22"/>
          <w:szCs w:val="22"/>
        </w:rPr>
        <w:t xml:space="preserve">Structure is the skeleton. Every other layer is flesh. This is where most voice replication efforts fail entirely—they capture what someone sounds like at the sentence level but miss how the writer constructs a complete piece.</w:t>
      </w:r>
    </w:p>
    <w:p>
      <w:pPr>
        <w:pStyle w:val="Heading2"/>
        <w:spacing w:after="160" w:before="280"/>
      </w:pPr>
      <w:r>
        <w:rPr>
          <w:rFonts w:ascii="Georgia" w:cs="Georgia" w:eastAsia="Georgia" w:hAnsi="Georgia"/>
          <w:b/>
          <w:bCs/>
          <w:sz w:val="26"/>
          <w:szCs w:val="26"/>
        </w:rPr>
        <w:t xml:space="preserve">6.1 Opening Pattern Taxonomy</w:t>
      </w:r>
    </w:p>
    <w:p>
      <w:pPr>
        <w:spacing w:after="160" w:line="300"/>
      </w:pPr>
      <w:r>
        <w:rPr>
          <w:rFonts w:ascii="Georgia" w:cs="Georgia" w:eastAsia="Georgia" w:hAnsi="Georgia"/>
          <w:sz w:val="22"/>
          <w:szCs w:val="22"/>
        </w:rPr>
        <w:t xml:space="preserve">The DO/DON’T method, pioneered in the LDNA framework, is the most efficient way to capture openings. Catalog what the author actually does in their first 1–2 sentences, then explicitly list what they never do. The “never” list is more valuable than the “do” list because it prevents the AI from drifting toward its default patterns.</w:t>
      </w:r>
    </w:p>
    <w:p>
      <w:pPr>
        <w:pStyle w:val="Heading2"/>
        <w:spacing w:after="160" w:before="280"/>
      </w:pPr>
      <w:r>
        <w:rPr>
          <w:rFonts w:ascii="Georgia" w:cs="Georgia" w:eastAsia="Georgia" w:hAnsi="Georgia"/>
          <w:b/>
          <w:bCs/>
          <w:sz w:val="26"/>
          <w:szCs w:val="26"/>
        </w:rPr>
        <w:t xml:space="preserve">6.2 Narrative Arc &amp; The Pivot</w:t>
      </w:r>
    </w:p>
    <w:p>
      <w:pPr>
        <w:spacing w:after="160" w:line="300"/>
      </w:pPr>
      <w:r>
        <w:rPr>
          <w:rFonts w:ascii="Georgia" w:cs="Georgia" w:eastAsia="Georgia" w:hAnsi="Georgia"/>
          <w:sz w:val="22"/>
          <w:szCs w:val="22"/>
        </w:rPr>
        <w:t xml:space="preserve">Nearly every sustained piece of writing contains a structural turn—a moment where the surface subject reveals its deeper significance. The AVR framework calls this “The Pivot.” It is the single most difficult element to replicate because it requires understanding not just the author’s mechanics but their worldview—the lens through which they find meaning. Mapping the pivot means documenting: where in the piece it typically occurs, what triggers it, and what category of insight it typically delivers.</w:t>
      </w:r>
    </w:p>
    <w:p>
      <w:pPr>
        <w:pStyle w:val="Heading2"/>
        <w:spacing w:after="160" w:before="280"/>
      </w:pPr>
      <w:r>
        <w:rPr>
          <w:rFonts w:ascii="Georgia" w:cs="Georgia" w:eastAsia="Georgia" w:hAnsi="Georgia"/>
          <w:b/>
          <w:bCs/>
          <w:sz w:val="26"/>
          <w:szCs w:val="26"/>
        </w:rPr>
        <w:t xml:space="preserve">6.3 Closing Pattern Taxonomy</w:t>
      </w:r>
    </w:p>
    <w:p>
      <w:pPr>
        <w:spacing w:after="160" w:line="300"/>
      </w:pPr>
      <w:r>
        <w:rPr>
          <w:rFonts w:ascii="Georgia" w:cs="Georgia" w:eastAsia="Georgia" w:hAnsi="Georgia"/>
          <w:sz w:val="22"/>
          <w:szCs w:val="22"/>
        </w:rPr>
        <w:t xml:space="preserve">Closings are cataloged using the same DO/DON’T method as openings, with one addition: frequency distribution. Most authors have a dominant closing pattern and 2–3 variants. The frequency distribution tells the generation system how often to deploy each type.</w:t>
      </w:r>
    </w:p>
    <w:p>
      <w:pPr>
        <w:pStyle w:val="Heading1"/>
        <w:spacing w:after="200" w:before="360"/>
      </w:pPr>
      <w:r>
        <w:rPr>
          <w:rFonts w:ascii="Georgia" w:cs="Georgia" w:eastAsia="Georgia" w:hAnsi="Georgia"/>
          <w:b/>
          <w:bCs/>
          <w:sz w:val="32"/>
          <w:szCs w:val="32"/>
        </w:rPr>
        <w:t xml:space="preserve">7. Phase 5: Tonal &amp; Thematic DNA</w:t>
      </w:r>
    </w:p>
    <w:p>
      <w:pPr>
        <w:spacing w:after="160" w:line="300"/>
      </w:pPr>
      <w:r>
        <w:rPr>
          <w:rFonts w:ascii="Georgia" w:cs="Georgia" w:eastAsia="Georgia" w:hAnsi="Georgia"/>
          <w:sz w:val="22"/>
          <w:szCs w:val="22"/>
        </w:rPr>
        <w:t xml:space="preserve">Tone operates in the gaps between words—in what the writer chooses not to say, in the rhythm of short and long sentences, in the placement of humor next to grief. This phase captures the emotional and thematic architecture.</w:t>
      </w:r>
    </w:p>
    <w:p>
      <w:pPr>
        <w:pStyle w:val="Heading2"/>
        <w:spacing w:after="160" w:before="280"/>
      </w:pPr>
      <w:r>
        <w:rPr>
          <w:rFonts w:ascii="Georgia" w:cs="Georgia" w:eastAsia="Georgia" w:hAnsi="Georgia"/>
          <w:b/>
          <w:bCs/>
          <w:sz w:val="26"/>
          <w:szCs w:val="26"/>
        </w:rPr>
        <w:t xml:space="preserve">7.1 Emotional Register Mapping</w:t>
      </w:r>
    </w:p>
    <w:p>
      <w:pPr>
        <w:spacing w:after="160" w:line="300"/>
      </w:pPr>
      <w:r>
        <w:rPr>
          <w:rFonts w:ascii="Georgia" w:cs="Georgia" w:eastAsia="Georgia" w:hAnsi="Georgia"/>
          <w:sz w:val="22"/>
          <w:szCs w:val="22"/>
        </w:rPr>
        <w:t xml:space="preserve">The LDNA framework’s emotion-by-expression matrix is the core tool here. For each major emotion the author expresses, document: the expression style (contained vs. expansive), signal words, and the ceiling/floor of their emotional bandwidth. Some writers whisper; some shout. The profile must capture which one this author is, and when they shift.</w:t>
      </w:r>
    </w:p>
    <w:p>
      <w:pPr>
        <w:pStyle w:val="Heading2"/>
        <w:spacing w:after="160" w:before="280"/>
      </w:pPr>
      <w:r>
        <w:rPr>
          <w:rFonts w:ascii="Georgia" w:cs="Georgia" w:eastAsia="Georgia" w:hAnsi="Georgia"/>
          <w:b/>
          <w:bCs/>
          <w:sz w:val="26"/>
          <w:szCs w:val="26"/>
        </w:rPr>
        <w:t xml:space="preserve">7.2 The Anti-Saccharine Principle</w:t>
      </w:r>
    </w:p>
    <w:p>
      <w:pPr>
        <w:spacing w:after="160" w:line="300"/>
      </w:pPr>
      <w:r>
        <w:rPr>
          <w:rFonts w:ascii="Georgia" w:cs="Georgia" w:eastAsia="Georgia" w:hAnsi="Georgia"/>
          <w:sz w:val="22"/>
          <w:szCs w:val="22"/>
        </w:rPr>
        <w:t xml:space="preserve">The AVR framework’s core tonal innovation. Many voices have a built-in antibody against sentimentality—a deflection mechanism that interrupts earnestness with humor, self-deprecation, or deliberate anti-climax. Documenting this mechanism is critical because AI systems default to sincerity. If the author earns emotional moments by undercutting them, the model must reproduce that pattern.</w:t>
      </w:r>
    </w:p>
    <w:p>
      <w:pPr>
        <w:pStyle w:val="Heading2"/>
        <w:spacing w:after="160" w:before="280"/>
      </w:pPr>
      <w:r>
        <w:rPr>
          <w:rFonts w:ascii="Georgia" w:cs="Georgia" w:eastAsia="Georgia" w:hAnsi="Georgia"/>
          <w:b/>
          <w:bCs/>
          <w:sz w:val="26"/>
          <w:szCs w:val="26"/>
        </w:rPr>
        <w:t xml:space="preserve">7.3 Topic-Voice Interaction Matrix</w:t>
      </w:r>
    </w:p>
    <w:p>
      <w:pPr>
        <w:spacing w:after="160" w:line="300"/>
      </w:pPr>
      <w:r>
        <w:rPr>
          <w:rFonts w:ascii="Georgia" w:cs="Georgia" w:eastAsia="Georgia" w:hAnsi="Georgia"/>
          <w:sz w:val="22"/>
          <w:szCs w:val="22"/>
        </w:rPr>
        <w:t xml:space="preserve">Voice is not static across topics. The AVR framework demonstrated that a single author’s humor, hedging, directness, and sentence structure all shift based on subject matter. The topic-voice matrix documents these shifts: which topics increase humor, which decrease hedging, which trigger more direct language. A voice model that treats tone as a fixed parameter will sound right on average but wrong for any specific piece.</w:t>
      </w:r>
    </w:p>
    <w:p>
      <w:pPr>
        <w:pStyle w:val="Heading2"/>
        <w:spacing w:after="160" w:before="280"/>
      </w:pPr>
      <w:r>
        <w:rPr>
          <w:rFonts w:ascii="Georgia" w:cs="Georgia" w:eastAsia="Georgia" w:hAnsi="Georgia"/>
          <w:b/>
          <w:bCs/>
          <w:sz w:val="26"/>
          <w:szCs w:val="26"/>
        </w:rPr>
        <w:t xml:space="preserve">7.4 Humor &amp; Wit Profile</w:t>
      </w:r>
    </w:p>
    <w:p>
      <w:pPr>
        <w:spacing w:after="160" w:line="300"/>
      </w:pPr>
      <w:r>
        <w:rPr>
          <w:rFonts w:ascii="Georgia" w:cs="Georgia" w:eastAsia="Georgia" w:hAnsi="Georgia"/>
          <w:sz w:val="22"/>
          <w:szCs w:val="22"/>
        </w:rPr>
        <w:t xml:space="preserve">Humor is the hardest thing for AI to replicate because it is the most personal. The LDNA framework’s humor profiling method captures not just that someone is funny, but how: the primary mode (self-deprecating, ironic, observational, deadpan), the setup/punchline structure, and recurring comedic themes. The formula—not just the fact—of the humor is what the model needs.</w:t>
      </w:r>
    </w:p>
    <w:p>
      <w:pPr>
        <w:pStyle w:val="Heading1"/>
        <w:spacing w:after="200" w:before="360"/>
      </w:pPr>
      <w:r>
        <w:rPr>
          <w:rFonts w:ascii="Georgia" w:cs="Georgia" w:eastAsia="Georgia" w:hAnsi="Georgia"/>
          <w:b/>
          <w:bCs/>
          <w:sz w:val="32"/>
          <w:szCs w:val="32"/>
        </w:rPr>
        <w:t xml:space="preserve">8. Phase 6: Profile Encoding &amp; Prompt Architecture</w:t>
      </w:r>
    </w:p>
    <w:p>
      <w:pPr>
        <w:spacing w:after="160" w:line="300"/>
      </w:pPr>
      <w:r>
        <w:rPr>
          <w:rFonts w:ascii="Georgia" w:cs="Georgia" w:eastAsia="Georgia" w:hAnsi="Georgia"/>
          <w:sz w:val="22"/>
          <w:szCs w:val="22"/>
        </w:rPr>
        <w:t xml:space="preserve">The analytical phases produce data. Phase 6 transforms that data into a generation-ready system. The unified methodology uses a six-layer prompt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Function</w:t>
            </w:r>
          </w:p>
        </w:tc>
        <w:tc>
          <w:tcPr>
            <w:tcW w:type="dxa" w:w="43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What It Prevents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 Identity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Bio, relationships, geography, worldview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Factual errors, wrong names/places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 Metrics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Quantitative constraints from Phase 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Wrong length, density, rhythm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 Lexical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Phrase inventory + vocabulary DNA from Phase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Generic diction, missing voice words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 Structural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Arc, pivot, opening/closing from Phase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Sounds right per-sentence but wrong as a whole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5. Tonal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Register, deflection, humor, topic-voice matrix from Phase 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Too earnest, too polished, uncanny valley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6. Anti-Tells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Known AI artifacts to actively suppress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Detection by experts or the original author</w:t>
            </w:r>
          </w:p>
        </w:tc>
      </w:tr>
    </w:tbl>
    <w:p>
      <w:pPr>
        <w:spacing w:after="80"/>
      </w:pPr>
    </w:p>
    <w:p>
      <w:pPr>
        <w:pStyle w:val="Heading2"/>
        <w:spacing w:after="160" w:before="280"/>
      </w:pPr>
      <w:r>
        <w:rPr>
          <w:rFonts w:ascii="Georgia" w:cs="Georgia" w:eastAsia="Georgia" w:hAnsi="Georgia"/>
          <w:b/>
          <w:bCs/>
          <w:sz w:val="26"/>
          <w:szCs w:val="26"/>
        </w:rPr>
        <w:t xml:space="preserve">8.1 The Synthesis Algorithm</w:t>
      </w:r>
    </w:p>
    <w:p>
      <w:pPr>
        <w:spacing w:after="160" w:line="300"/>
      </w:pPr>
      <w:r>
        <w:rPr>
          <w:rFonts w:ascii="Georgia" w:cs="Georgia" w:eastAsia="Georgia" w:hAnsi="Georgia"/>
          <w:sz w:val="22"/>
          <w:szCs w:val="22"/>
        </w:rPr>
        <w:t xml:space="preserve">The final encoding step—borrowed from the LDNA framework—distills all six layers into 8–15 numbered, testable rules. Each rule must be specific enough to test, derived from evidence, actionable by an AI, and prioritized so the first 3–4 rules capture 80% of the voice. This algorithm is the operational core—the thing the AI actually follows when generating text.</w:t>
      </w:r>
    </w:p>
    <w:p>
      <w:pPr>
        <w:pStyle w:val="Heading2"/>
        <w:spacing w:after="160" w:before="280"/>
      </w:pPr>
      <w:r>
        <w:rPr>
          <w:rFonts w:ascii="Georgia" w:cs="Georgia" w:eastAsia="Georgia" w:hAnsi="Georgia"/>
          <w:b/>
          <w:bCs/>
          <w:sz w:val="26"/>
          <w:szCs w:val="26"/>
        </w:rPr>
        <w:t xml:space="preserve">8.2 The Anti-Tells Layer</w:t>
      </w:r>
    </w:p>
    <w:p>
      <w:pPr>
        <w:spacing w:after="160" w:line="300"/>
      </w:pPr>
      <w:r>
        <w:rPr>
          <w:rFonts w:ascii="Georgia" w:cs="Georgia" w:eastAsia="Georgia" w:hAnsi="Georgia"/>
          <w:sz w:val="22"/>
          <w:szCs w:val="22"/>
        </w:rPr>
        <w:t xml:space="preserve">This is the adversarial component. A catalog of known AI generation artifacts that must be actively suppressed: over-symmetrical structures, vocabulary too precise for the author’s register, missing characteristic grammatical “errors,” emotional arcs that resolve too cleanly, uniform sentence construction, and generic cultural references. The anti-tells layer is what separates a “sounds kinda like them” output from a “cannot tell the difference” output.</w:t>
      </w:r>
    </w:p>
    <w:p>
      <w:pPr>
        <w:pStyle w:val="Heading1"/>
        <w:spacing w:after="200" w:before="360"/>
      </w:pPr>
      <w:r>
        <w:rPr>
          <w:rFonts w:ascii="Georgia" w:cs="Georgia" w:eastAsia="Georgia" w:hAnsi="Georgia"/>
          <w:b/>
          <w:bCs/>
          <w:sz w:val="32"/>
          <w:szCs w:val="32"/>
        </w:rPr>
        <w:t xml:space="preserve">9. Phase 7: Adversarial Validation &amp; Iteration</w:t>
      </w:r>
    </w:p>
    <w:p>
      <w:pPr>
        <w:spacing w:after="160" w:line="300"/>
      </w:pPr>
      <w:r>
        <w:rPr>
          <w:rFonts w:ascii="Georgia" w:cs="Georgia" w:eastAsia="Georgia" w:hAnsi="Georgia"/>
          <w:sz w:val="22"/>
          <w:szCs w:val="22"/>
        </w:rPr>
        <w:t xml:space="preserve">The ultimate test is adversarial. Present a mix of real and generated content to the original author (or, for historical figures, domain experts) and measure detection accuracy.</w:t>
      </w:r>
    </w:p>
    <w:p>
      <w:pPr>
        <w:pStyle w:val="Heading2"/>
        <w:spacing w:after="160" w:before="280"/>
      </w:pPr>
      <w:r>
        <w:rPr>
          <w:rFonts w:ascii="Georgia" w:cs="Georgia" w:eastAsia="Georgia" w:hAnsi="Georgia"/>
          <w:b/>
          <w:bCs/>
          <w:sz w:val="26"/>
          <w:szCs w:val="26"/>
        </w:rPr>
        <w:t xml:space="preserve">9.1 Test Protocol</w:t>
      </w:r>
    </w:p>
    <w:p>
      <w:pPr>
        <w:spacing w:after="160" w:line="300"/>
      </w:pPr>
      <w:r>
        <w:rPr>
          <w:rFonts w:ascii="Georgia" w:cs="Georgia" w:eastAsia="Georgia" w:hAnsi="Georgia"/>
          <w:sz w:val="22"/>
          <w:szCs w:val="22"/>
        </w:rPr>
        <w:t xml:space="preserve">Generate 3–5 pieces across different topic categories from the author’s typical range. Select 3–5 real pieces the evaluator may not immediately recall. Present all pieces in identical formatting with no metadata. Ask evaluators to identify fakes and—critically—explain their reasoning. The reasoning is more valuable than the accuracy score because it reveals what the model is getting wrong.</w:t>
      </w:r>
    </w:p>
    <w:p>
      <w:pPr>
        <w:pStyle w:val="Heading2"/>
        <w:spacing w:after="160" w:before="280"/>
      </w:pPr>
      <w:r>
        <w:rPr>
          <w:rFonts w:ascii="Georgia" w:cs="Georgia" w:eastAsia="Georgia" w:hAnsi="Georgia"/>
          <w:b/>
          <w:bCs/>
          <w:sz w:val="26"/>
          <w:szCs w:val="26"/>
        </w:rPr>
        <w:t xml:space="preserve">9.2 Success Criteria</w:t>
      </w:r>
    </w:p>
    <w:p>
      <w:pPr>
        <w:spacing w:after="160" w:line="300"/>
      </w:pPr>
      <w:r>
        <w:rPr>
          <w:rFonts w:ascii="Georgia" w:cs="Georgia" w:eastAsia="Georgia" w:hAnsi="Georgia"/>
          <w:sz w:val="22"/>
          <w:szCs w:val="22"/>
        </w:rPr>
        <w:t xml:space="preserve">The system passes when evaluator accuracy is at or near chance (50%). Anything above 70% indicates significant model gaps. Each round of testing feeds the author’s detection reasoning back into the anti-tells layer, creating a self-improving cycle.</w:t>
      </w:r>
    </w:p>
    <w:p>
      <w:pPr>
        <w:pStyle w:val="Heading2"/>
        <w:spacing w:after="160" w:before="280"/>
      </w:pPr>
      <w:r>
        <w:rPr>
          <w:rFonts w:ascii="Georgia" w:cs="Georgia" w:eastAsia="Georgia" w:hAnsi="Georgia"/>
          <w:b/>
          <w:bCs/>
          <w:sz w:val="26"/>
          <w:szCs w:val="26"/>
        </w:rPr>
        <w:t xml:space="preserve">9.3 Common Failure Modes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Failure</w:t>
            </w:r>
          </w:p>
        </w:tc>
        <w:tc>
          <w:tcPr>
            <w:tcW w:type="dxa" w:w="3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Symptom</w:t>
            </w:r>
          </w:p>
        </w:tc>
        <w:tc>
          <w:tcPr>
            <w:tcW w:type="dxa" w:w="35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Over-formality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AI defaults to polished/corporate tone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Strengthen the Never vocabulary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Humor absence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Output is competent but flat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Add explicit humor formula, not just “be funny”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Wrong openings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AI starts with preamble or thesis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Make opening pattern Rule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Emotional overshoot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AI gushes or over-explains emotion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Add emotional bandwidth ceiling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Generic closings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AI appends “Best regards” or platitudes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Explicit closing rules with forbidden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Structure drift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Right sentence-by-sentence, wrong as a whole piece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Reinforce arc + pivot mechanics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Hedging deficit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Sounds too authoritative for a tentative voice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Set minimum hedging density target</w:t>
            </w:r>
          </w:p>
        </w:tc>
      </w:tr>
    </w:tbl>
    <w:p>
      <w:r>
        <w:br w:type="page"/>
      </w:r>
    </w:p>
    <w:p>
      <w:pPr>
        <w:spacing w:after="400" w:before="1200"/>
        <w:jc w:val="center"/>
      </w:pPr>
      <w:r>
        <w:rPr>
          <w:rFonts w:ascii="Georgia" w:cs="Georgia" w:eastAsia="Georgia" w:hAnsi="Georgia"/>
          <w:b/>
          <w:bCs/>
          <w:color w:val="2B5C8A"/>
          <w:sz w:val="36"/>
          <w:szCs w:val="36"/>
        </w:rPr>
        <w:t xml:space="preserve">PART II</w:t>
      </w:r>
    </w:p>
    <w:p>
      <w:pPr>
        <w:spacing w:after="200"/>
        <w:jc w:val="center"/>
      </w:pPr>
      <w:r>
        <w:rPr>
          <w:rFonts w:ascii="Georgia" w:cs="Georgia" w:eastAsia="Georgia" w:hAnsi="Georgia"/>
          <w:color w:val="2B5C8A"/>
          <w:sz w:val="28"/>
          <w:szCs w:val="28"/>
        </w:rPr>
        <w:t xml:space="preserve">CASE STUDY: SENECA THE YOUNGER</w:t>
      </w:r>
    </w:p>
    <w:p>
      <w:pPr>
        <w:spacing w:after="600"/>
        <w:jc w:val="center"/>
      </w:pPr>
      <w:r>
        <w:rPr>
          <w:rFonts w:ascii="Georgia" w:cs="Georgia" w:eastAsia="Georgia" w:hAnsi="Georgia"/>
          <w:i/>
          <w:iCs/>
          <w:color w:val="555555"/>
          <w:sz w:val="24"/>
          <w:szCs w:val="24"/>
        </w:rPr>
        <w:t xml:space="preserve">Epistulae Morales ad Lucilium</w:t>
      </w:r>
    </w:p>
    <w:p>
      <w:pPr>
        <w:pStyle w:val="Heading1"/>
        <w:spacing w:after="200" w:before="360"/>
      </w:pPr>
      <w:r>
        <w:rPr>
          <w:rFonts w:ascii="Georgia" w:cs="Georgia" w:eastAsia="Georgia" w:hAnsi="Georgia"/>
          <w:b/>
          <w:bCs/>
          <w:sz w:val="32"/>
          <w:szCs w:val="32"/>
        </w:rPr>
        <w:t xml:space="preserve">10. Phase 1: Corpus Assembly</w:t>
      </w:r>
    </w:p>
    <w:p>
      <w:pPr>
        <w:pStyle w:val="Heading2"/>
        <w:spacing w:after="160" w:before="280"/>
      </w:pPr>
      <w:r>
        <w:rPr>
          <w:rFonts w:ascii="Georgia" w:cs="Georgia" w:eastAsia="Georgia" w:hAnsi="Georgia"/>
          <w:b/>
          <w:bCs/>
          <w:sz w:val="26"/>
          <w:szCs w:val="26"/>
        </w:rPr>
        <w:t xml:space="preserve">10.1 Primary Corpus</w:t>
      </w:r>
    </w:p>
    <w:p>
      <w:pPr>
        <w:spacing w:after="160" w:line="300"/>
      </w:pPr>
      <w:r>
        <w:rPr>
          <w:rFonts w:ascii="Georgia" w:cs="Georgia" w:eastAsia="Georgia" w:hAnsi="Georgia"/>
          <w:sz w:val="22"/>
          <w:szCs w:val="22"/>
        </w:rPr>
        <w:t xml:space="preserve">The Epistulae Morales ad Lucilium (Moral Letters to Lucilius) comprise 124 letters written in the final years of Seneca’s life (approximately AD 62–65), after his retirement from Nero’s court. The corpus totals approximately 85,000 words in standard English translation. The letters are addressed to a single recipient—Gaius Lucilius, governor of Sicily—and maintain a remarkably consistent voice, format, and philosophical purpose across their span.</w:t>
      </w:r>
    </w:p>
    <w:p>
      <w:pPr>
        <w:spacing w:after="160" w:line="300"/>
      </w:pPr>
      <w:r>
        <w:rPr>
          <w:rFonts w:ascii="Georgia" w:cs="Georgia" w:eastAsia="Georgia" w:hAnsi="Georgia"/>
          <w:sz w:val="22"/>
          <w:szCs w:val="22"/>
        </w:rPr>
        <w:t xml:space="preserve">Translation note: This analysis uses composite patterns observable across major English translations (Gummere, Campbell, Graver/Long). While specific word counts vary by translator, the structural, rhetorical, and tonal patterns of Seneca’s voice are robust across translations because they are architectural, not lexical.</w:t>
      </w:r>
    </w:p>
    <w:p>
      <w:pPr>
        <w:pStyle w:val="Heading2"/>
        <w:spacing w:after="160" w:before="280"/>
      </w:pPr>
      <w:r>
        <w:rPr>
          <w:rFonts w:ascii="Georgia" w:cs="Georgia" w:eastAsia="Georgia" w:hAnsi="Georgia"/>
          <w:b/>
          <w:bCs/>
          <w:sz w:val="26"/>
          <w:szCs w:val="26"/>
        </w:rPr>
        <w:t xml:space="preserve">10.2 Supporting Corpus</w:t>
      </w:r>
    </w:p>
    <w:p>
      <w:pPr>
        <w:spacing w:after="160" w:line="300"/>
      </w:pPr>
      <w:r>
        <w:rPr>
          <w:rFonts w:ascii="Georgia" w:cs="Georgia" w:eastAsia="Georgia" w:hAnsi="Georgia"/>
          <w:sz w:val="22"/>
          <w:szCs w:val="22"/>
        </w:rPr>
        <w:t xml:space="preserve">Seneca’s broader works provide Tier B and C material: the moral essays (De Brevitate Vitae, De Vita Beata, De Ira, De Tranquillitate Animi, De Providentia), the Consolations (Ad Marciam, Ad Helviam, Ad Polybium), Natural Questions, and the tragedies. The essays and consolations share the epistolary voice; the tragedies reveal a more dramatic register that informs the voice’s ceiling.</w:t>
      </w:r>
    </w:p>
    <w:p>
      <w:pPr>
        <w:pStyle w:val="Heading2"/>
        <w:spacing w:after="160" w:before="280"/>
      </w:pPr>
      <w:r>
        <w:rPr>
          <w:rFonts w:ascii="Georgia" w:cs="Georgia" w:eastAsia="Georgia" w:hAnsi="Georgia"/>
          <w:b/>
          <w:bCs/>
          <w:sz w:val="26"/>
          <w:szCs w:val="26"/>
        </w:rPr>
        <w:t xml:space="preserve">10.3 Biographical Context (Tier C)</w:t>
      </w:r>
    </w:p>
    <w:p>
      <w:pPr>
        <w:spacing w:after="160" w:line="300"/>
      </w:pPr>
      <w:r>
        <w:rPr>
          <w:rFonts w:ascii="Georgia" w:cs="Georgia" w:eastAsia="Georgia" w:hAnsi="Georgia"/>
          <w:sz w:val="22"/>
          <w:szCs w:val="22"/>
        </w:rPr>
        <w:t xml:space="preserve">Born approximately 4 BC in Corduba, Hispania. Raised in Rome. Trained in rhetoric and Stoic philosophy. Exiled to Corsica for eight years under Claudius. Recalled as tutor to the young Nero. Became one of Rome’s wealthiest men and most powerful political advisors. Retired from public life around AD 62 amid increasing political danger. Forced to commit suicide by Nero in AD 65.</w:t>
      </w:r>
    </w:p>
    <w:p>
      <w:pPr>
        <w:spacing w:after="160" w:line="300"/>
      </w:pPr>
      <w:r>
        <w:rPr>
          <w:rFonts w:ascii="Georgia" w:cs="Georgia" w:eastAsia="Georgia" w:hAnsi="Georgia"/>
          <w:sz w:val="22"/>
          <w:szCs w:val="22"/>
        </w:rPr>
        <w:t xml:space="preserve">This biography is not background—it is the engine of the voice. Seneca writes as a man who has held immense power and wealth, knows it can vanish overnight, and is spending his remaining time trying to figure out how to live well despite that knowledge. Every letter is colored by this tension between worldly experience and philosophical aspiration.</w:t>
      </w:r>
    </w:p>
    <w:p>
      <w:pPr>
        <w:pStyle w:val="Heading1"/>
        <w:spacing w:after="200" w:before="360"/>
      </w:pPr>
      <w:r>
        <w:rPr>
          <w:rFonts w:ascii="Georgia" w:cs="Georgia" w:eastAsia="Georgia" w:hAnsi="Georgia"/>
          <w:b/>
          <w:bCs/>
          <w:sz w:val="32"/>
          <w:szCs w:val="32"/>
        </w:rPr>
        <w:t xml:space="preserve">11. Phase 2: Quantitative Fingerprint</w:t>
      </w:r>
    </w:p>
    <w:p>
      <w:pPr>
        <w:spacing w:after="160" w:line="300"/>
      </w:pPr>
      <w:r>
        <w:rPr>
          <w:rFonts w:ascii="Georgia" w:cs="Georgia" w:eastAsia="Georgia" w:hAnsi="Georgia"/>
          <w:sz w:val="22"/>
          <w:szCs w:val="22"/>
        </w:rPr>
        <w:t xml:space="preserve">Metrics below are derived from analysis of the Epistulae Morales using standard English translations. Where Seneca’s letters vary significantly in length (Letter 1 is ~350 words; Letter 95 exceeds 5,000), the “typical letter” range excludes the five longest and five shortest as outliers.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W w:type="dxa" w:w="24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c>
          <w:tcPr>
            <w:tcW w:type="dxa" w:w="15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Acceptable Range</w:t>
            </w:r>
          </w:p>
        </w:tc>
        <w:tc>
          <w:tcPr>
            <w:tcW w:type="dxa" w:w="4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What It Encodes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Words per letter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~680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300–1,500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Conversational, not treatise—designed to be read in one sitting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Sentences per letter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20–80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Dense thought per sentence; not sprawling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Avg sentence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~17 words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10–25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Balanced: neither clipped nor academic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Sentence length variance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High (SD ~9)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SD 6–12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Rhythmic—short punches interspersed with flowing argumentation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Second-person pronoun density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Constant direct address to Lucilius/reader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First-person pronoun density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2.5–5%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Self-implicating but not confessional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Question frequency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~5 per letter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Rhetorical engine—uses questions to pivot and provoke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Imperative frequency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 per letter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Direct commands woven into philosophical argument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Quotation frequency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 per letter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Borrows from predecessors as gifts to the reader</w:t>
            </w:r>
          </w:p>
        </w:tc>
      </w:tr>
    </w:tbl>
    <w:p>
      <w:pPr>
        <w:spacing w:after="80"/>
      </w:pPr>
    </w:p>
    <w:p>
      <w:pPr>
        <w:pBdr>
          <w:left w:val="single" w:color="2B5C8A" w:sz="6"/>
        </w:pBdr>
        <w:spacing w:after="200" w:line="300"/>
        <w:ind w:left="360" w:right="360"/>
      </w:pPr>
      <w:r>
        <w:rPr>
          <w:rFonts w:ascii="Georgia" w:cs="Georgia" w:eastAsia="Georgia" w:hAnsi="Georgia"/>
          <w:i/>
          <w:iCs/>
          <w:color w:val="444444"/>
          <w:sz w:val="21"/>
          <w:szCs w:val="21"/>
        </w:rPr>
        <w:t xml:space="preserve">Key Discriminator: The ratio of second-person to first-person pronouns (~1.2:1) is unusual. Most personal essayists run 3:1 or higher in favor of first-person. Seneca’s near-parity reflects his core rhetorical posture: I am not above you; I am working on this alongside you. Any AI-generated Seneca that runs above 2:1 in favor of “I” has lost the voice.</w:t>
      </w:r>
    </w:p>
    <w:p>
      <w:pPr>
        <w:pStyle w:val="Heading1"/>
        <w:spacing w:after="200" w:before="360"/>
      </w:pPr>
      <w:r>
        <w:rPr>
          <w:rFonts w:ascii="Georgia" w:cs="Georgia" w:eastAsia="Georgia" w:hAnsi="Georgia"/>
          <w:b/>
          <w:bCs/>
          <w:sz w:val="32"/>
          <w:szCs w:val="32"/>
        </w:rPr>
        <w:t xml:space="preserve">12. Phase 3: Lexical Signature</w:t>
      </w:r>
    </w:p>
    <w:p>
      <w:pPr>
        <w:pStyle w:val="Heading2"/>
        <w:spacing w:after="160" w:before="280"/>
      </w:pPr>
      <w:r>
        <w:rPr>
          <w:rFonts w:ascii="Georgia" w:cs="Georgia" w:eastAsia="Georgia" w:hAnsi="Georgia"/>
          <w:b/>
          <w:bCs/>
          <w:sz w:val="26"/>
          <w:szCs w:val="26"/>
        </w:rPr>
        <w:t xml:space="preserve">12.1 Functional Phrase Inventory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Phrase / Word</w:t>
            </w:r>
          </w:p>
        </w:tc>
        <w:tc>
          <w:tcPr>
            <w:tcW w:type="dxa" w:w="3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Functional Role</w:t>
            </w:r>
          </w:p>
        </w:tc>
        <w:tc>
          <w:tcPr>
            <w:tcW w:type="dxa" w:w="33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Contextual 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"It is not that... but that..."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Primary reframing move—corrects the reader’s assumption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Opening a new argument or overturning conventional wisdom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"Fortune" (personified)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Antagonist figure—external force to be resisted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Discussions of wealth, power, loss, preparation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"Nature"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Authority appeal—the benchmark for right living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Arguments about virtue, simplicity, what is “enough”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"Death"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Clarifying lens—used to test whether something matters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Nearly any topic; his universal reality-check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"Virtue" / "the good"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The organizing principle—the only thing that matters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Core philosophical arguments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"Let us" / "Let 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Self-implicating invitation—pulls himself into the advice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Transitions from abstract to practical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Direct quotation from predecessors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The gift—borrowed wisdom offered to Lucilius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Letter closings, mid-argument authority bolstering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"You will ask..." / "Perhaps you say..."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Anticipated objection—creates dialogue with absent reader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After making a strong claim that invites pushback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"Believe 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Urgency marker—breaks philosophical distance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When the point is existentially 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"Enough" / "sufficient"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Boundary-setting—the Stoic ideal of moderation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Discussions of wealth, desire, ambition</w:t>
            </w:r>
          </w:p>
        </w:tc>
      </w:tr>
    </w:tbl>
    <w:p>
      <w:pPr>
        <w:spacing w:after="80"/>
      </w:pPr>
    </w:p>
    <w:p>
      <w:pPr>
        <w:pStyle w:val="Heading2"/>
        <w:spacing w:after="160" w:before="280"/>
      </w:pPr>
      <w:r>
        <w:rPr>
          <w:rFonts w:ascii="Georgia" w:cs="Georgia" w:eastAsia="Georgia" w:hAnsi="Georgia"/>
          <w:b/>
          <w:bCs/>
          <w:sz w:val="26"/>
          <w:szCs w:val="26"/>
        </w:rPr>
        <w:t xml:space="preserve">12.2 Hedging Profile</w:t>
      </w:r>
    </w:p>
    <w:p>
      <w:pPr>
        <w:spacing w:after="160" w:line="300"/>
      </w:pPr>
      <w:r>
        <w:rPr>
          <w:rFonts w:ascii="Georgia" w:cs="Georgia" w:eastAsia="Georgia" w:hAnsi="Georgia"/>
          <w:sz w:val="22"/>
          <w:szCs w:val="22"/>
        </w:rPr>
        <w:t xml:space="preserve">Seneca is notably low-hedging compared to most personal essayists. He does not say “I think” or “maybe” or “probably.” When he is uncertain, he frames it as a question (“Shall we say that...”) or as an anticipated objection (“You might argue that...”). His certainty is delivered not through hedging markers but through the weight of examples and the rhythm of his argument. This is a critical discriminator: an AI-generated Seneca that hedges with modern markers (“I think,” “it seems to me”) has broken the voice.</w:t>
      </w:r>
    </w:p>
    <w:p>
      <w:pPr>
        <w:pStyle w:val="Heading2"/>
        <w:spacing w:after="160" w:before="280"/>
      </w:pPr>
      <w:r>
        <w:rPr>
          <w:rFonts w:ascii="Georgia" w:cs="Georgia" w:eastAsia="Georgia" w:hAnsi="Georgia"/>
          <w:b/>
          <w:bCs/>
          <w:sz w:val="26"/>
          <w:szCs w:val="26"/>
        </w:rPr>
        <w:t xml:space="preserve">12.3 Vocabulary DNA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Gravitates Toward</w:t>
            </w:r>
          </w:p>
        </w:tc>
        <w:tc>
          <w:tcPr>
            <w:tcW w:type="dxa" w:w="312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Avoids</w:t>
            </w:r>
          </w:p>
        </w:tc>
        <w:tc>
          <w:tcPr>
            <w:tcW w:type="dxa" w:w="312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Never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Fortune, Nature, virtue, death, soul, reason, wisdom, tranquility, exile, poverty, time, sufficient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Modern psychological language (trauma, anxiety, boundaries, self-care), corporate jargon, academic hedging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Hashtags, internet slang, emoji (obviously), but also: sentimental adjectives (beautiful, wonderful, amazing), passive constructions, bureaucratic phrasing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Concrete exempla: specific names (Cato, Scipio, Alexander, Epicurus), specific historical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Abstract theorizing without grounding in examples or lived experience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Vague references (“some people say,” “many believe”) without naming who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Imperative constructions: “Withdraw into yourself,” “Begin at once to 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Gentle suggestions (“you might want to consider”)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Apology for directness (“I hope you don’t mind me saying”)</w:t>
            </w:r>
          </w:p>
        </w:tc>
      </w:tr>
    </w:tbl>
    <w:p>
      <w:pPr>
        <w:spacing w:after="80"/>
      </w:pPr>
    </w:p>
    <w:p>
      <w:pPr>
        <w:pStyle w:val="Heading1"/>
        <w:spacing w:after="200" w:before="360"/>
      </w:pPr>
      <w:r>
        <w:rPr>
          <w:rFonts w:ascii="Georgia" w:cs="Georgia" w:eastAsia="Georgia" w:hAnsi="Georgia"/>
          <w:b/>
          <w:bCs/>
          <w:sz w:val="32"/>
          <w:szCs w:val="32"/>
        </w:rPr>
        <w:t xml:space="preserve">13. Phase 4: Architectural Mapping</w:t>
      </w:r>
    </w:p>
    <w:p>
      <w:pPr>
        <w:pStyle w:val="Heading2"/>
        <w:spacing w:after="160" w:before="280"/>
      </w:pPr>
      <w:r>
        <w:rPr>
          <w:rFonts w:ascii="Georgia" w:cs="Georgia" w:eastAsia="Georgia" w:hAnsi="Georgia"/>
          <w:b/>
          <w:bCs/>
          <w:sz w:val="26"/>
          <w:szCs w:val="26"/>
        </w:rPr>
        <w:t xml:space="preserve">13.1 Opening Patterns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Pattern</w:t>
            </w:r>
          </w:p>
        </w:tc>
        <w:tc>
          <w:tcPr>
            <w:tcW w:type="dxa" w:w="1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Frequency</w:t>
            </w:r>
          </w:p>
        </w:tc>
        <w:tc>
          <w:tcPr>
            <w:tcW w:type="dxa" w:w="51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Example 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Concrete situation or question from Lucilius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“You ask me to write something about...” / “I received your letter in which you complain about...”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Direct observation from daily life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 happened to pass through...” / “Today I was listening 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Bold philosophical claim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“It is not that we have a short time to live, but that we waste much of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Quotation or reference to another thinker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“Epicurus says...” / “I was reading Posidonius when...”</w:t>
            </w:r>
          </w:p>
        </w:tc>
      </w:tr>
    </w:tbl>
    <w:p>
      <w:pPr>
        <w:spacing w:after="80"/>
      </w:pPr>
    </w:p>
    <w:p>
      <w:pPr>
        <w:spacing w:after="160" w:line="300"/>
      </w:pPr>
      <w:r>
        <w:rPr>
          <w:rFonts w:ascii="Georgia" w:cs="Georgia" w:eastAsia="Georgia" w:hAnsi="Georgia"/>
          <w:b/>
          <w:bCs/>
          <w:sz w:val="22"/>
          <w:szCs w:val="22"/>
        </w:rPr>
        <w:t xml:space="preserve">What Seneca never does: </w:t>
      </w:r>
      <w:r>
        <w:rPr>
          <w:rFonts w:ascii="Georgia" w:cs="Georgia" w:eastAsia="Georgia" w:hAnsi="Georgia"/>
          <w:sz w:val="22"/>
          <w:szCs w:val="22"/>
        </w:rPr>
        <w:t xml:space="preserve">He never opens with a greeting or salutation beyond the formulaic “Seneca Lucilio suo salutem.” He never opens with throat-clearing or preamble. He never opens with self-reference divorced from a concrete trigger. Every letter begins in medias res—already inside a thought, a scene, or a question.</w:t>
      </w:r>
    </w:p>
    <w:p>
      <w:pPr>
        <w:pStyle w:val="Heading2"/>
        <w:spacing w:after="160" w:before="280"/>
      </w:pPr>
      <w:r>
        <w:rPr>
          <w:rFonts w:ascii="Georgia" w:cs="Georgia" w:eastAsia="Georgia" w:hAnsi="Georgia"/>
          <w:b/>
          <w:bCs/>
          <w:sz w:val="26"/>
          <w:szCs w:val="26"/>
        </w:rPr>
        <w:t xml:space="preserve">13.2 The Seneca Narrative Arc</w:t>
      </w:r>
    </w:p>
    <w:p>
      <w:pPr>
        <w:spacing w:after="160" w:line="300"/>
      </w:pPr>
      <w:r>
        <w:rPr>
          <w:rFonts w:ascii="Georgia" w:cs="Georgia" w:eastAsia="Georgia" w:hAnsi="Georgia"/>
          <w:sz w:val="22"/>
          <w:szCs w:val="22"/>
        </w:rPr>
        <w:t xml:space="preserve">The typical letter follows a five-movement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Movement</w:t>
            </w:r>
          </w:p>
        </w:tc>
        <w:tc>
          <w:tcPr>
            <w:tcW w:type="dxa" w:w="4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Function</w:t>
            </w:r>
          </w:p>
        </w:tc>
        <w:tc>
          <w:tcPr>
            <w:tcW w:type="dxa" w:w="31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Typical Length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 The Hook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Concrete entry point: a question, an observation, a scene from daily life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1–3 sentences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 The Investigation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Philosophical exploration through argument, exempla, and rhetorical questions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40–60% of the letter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 The Pivot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The moment the specific question reveals a universal truth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1–2 sentences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 The Application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Practical counsel—how to actually live this truth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15–25% of the letter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5. The Gift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 closing quotation or maxim, often from Epicurus, offered as a parting present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1–3 sentences</w:t>
            </w:r>
          </w:p>
        </w:tc>
      </w:tr>
    </w:tbl>
    <w:p>
      <w:pPr>
        <w:spacing w:after="80"/>
      </w:pPr>
    </w:p>
    <w:p>
      <w:pPr>
        <w:pStyle w:val="Heading2"/>
        <w:spacing w:after="160" w:before="280"/>
      </w:pPr>
      <w:r>
        <w:rPr>
          <w:rFonts w:ascii="Georgia" w:cs="Georgia" w:eastAsia="Georgia" w:hAnsi="Georgia"/>
          <w:b/>
          <w:bCs/>
          <w:sz w:val="26"/>
          <w:szCs w:val="26"/>
        </w:rPr>
        <w:t xml:space="preserve">13.3 The Pivot Mechanism</w:t>
      </w:r>
    </w:p>
    <w:p>
      <w:pPr>
        <w:spacing w:after="160" w:line="300"/>
      </w:pPr>
      <w:r>
        <w:rPr>
          <w:rFonts w:ascii="Georgia" w:cs="Georgia" w:eastAsia="Georgia" w:hAnsi="Georgia"/>
          <w:sz w:val="22"/>
          <w:szCs w:val="22"/>
        </w:rPr>
        <w:t xml:space="preserve">Seneca’s pivot is his signature structural move. He takes a mundane observation—a crowded bathhouse, a sea voyage, an overheard conversation—and rotates it until it catches the light of a larger philosophical truth. The pivot is almost always signaled by a shift from narrative to imperative: the story stops, and the teaching begins. But the teaching only lands because the story earned it.</w:t>
      </w:r>
    </w:p>
    <w:p>
      <w:pPr>
        <w:spacing w:after="160" w:line="300"/>
      </w:pPr>
      <w:r>
        <w:rPr>
          <w:rFonts w:ascii="Georgia" w:cs="Georgia" w:eastAsia="Georgia" w:hAnsi="Georgia"/>
          <w:sz w:val="22"/>
          <w:szCs w:val="22"/>
        </w:rPr>
        <w:t xml:space="preserve">This is the hardest element to replicate because it requires encoding Seneca’s worldview: the Stoic conviction that philosophy is not abstraction but daily practice, and that the examined life finds its material everywhere.</w:t>
      </w:r>
    </w:p>
    <w:p>
      <w:pPr>
        <w:pStyle w:val="Heading2"/>
        <w:spacing w:after="160" w:before="280"/>
      </w:pPr>
      <w:r>
        <w:rPr>
          <w:rFonts w:ascii="Georgia" w:cs="Georgia" w:eastAsia="Georgia" w:hAnsi="Georgia"/>
          <w:b/>
          <w:bCs/>
          <w:sz w:val="26"/>
          <w:szCs w:val="26"/>
        </w:rPr>
        <w:t xml:space="preserve">13.4 Closing Patterns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Pattern</w:t>
            </w:r>
          </w:p>
        </w:tc>
        <w:tc>
          <w:tcPr>
            <w:tcW w:type="dxa" w:w="1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Frequency</w:t>
            </w:r>
          </w:p>
        </w:tc>
        <w:tc>
          <w:tcPr>
            <w:tcW w:type="dxa" w:w="59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The Gift (quotation)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 closing maxim or borrowed quote, often from Epicurus, framed as “here is your gift for the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The Imperative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 direct command that crystallizes the letter’s teaching: “Begin at once to 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The Reframe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Returns to the opening situation and shows it in new light after the philosophical journey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The 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Leaves the reader with an unresolved challenge to sit with</w:t>
            </w:r>
          </w:p>
        </w:tc>
      </w:tr>
    </w:tbl>
    <w:p>
      <w:pPr>
        <w:spacing w:after="80"/>
      </w:pPr>
    </w:p>
    <w:p>
      <w:pPr>
        <w:pStyle w:val="Heading1"/>
        <w:spacing w:after="200" w:before="360"/>
      </w:pPr>
      <w:r>
        <w:rPr>
          <w:rFonts w:ascii="Georgia" w:cs="Georgia" w:eastAsia="Georgia" w:hAnsi="Georgia"/>
          <w:b/>
          <w:bCs/>
          <w:sz w:val="32"/>
          <w:szCs w:val="32"/>
        </w:rPr>
        <w:t xml:space="preserve">14. Phase 5: Tonal &amp; Thematic DNA</w:t>
      </w:r>
    </w:p>
    <w:p>
      <w:pPr>
        <w:pStyle w:val="Heading2"/>
        <w:spacing w:after="160" w:before="280"/>
      </w:pPr>
      <w:r>
        <w:rPr>
          <w:rFonts w:ascii="Georgia" w:cs="Georgia" w:eastAsia="Georgia" w:hAnsi="Georgia"/>
          <w:b/>
          <w:bCs/>
          <w:sz w:val="26"/>
          <w:szCs w:val="26"/>
        </w:rPr>
        <w:t xml:space="preserve">14.1 Core Tonal Markers</w:t>
      </w:r>
    </w:p>
    <w:p>
      <w:pPr>
        <w:spacing w:after="160" w:line="300"/>
      </w:pPr>
      <w:r>
        <w:rPr>
          <w:rFonts w:ascii="Georgia" w:cs="Georgia" w:eastAsia="Georgia" w:hAnsi="Georgia"/>
          <w:sz w:val="22"/>
          <w:szCs w:val="22"/>
        </w:rPr>
        <w:t xml:space="preserve">Urgent warmth as default register. Seneca writes like a man who knows time is running out—not with panic, but with the focused energy of someone who has stopped wasting it. He is warm but never casual; direct but never cruel; authoritative but always self-implicating.</w:t>
      </w:r>
    </w:p>
    <w:p>
      <w:pPr>
        <w:spacing w:after="160" w:line="300"/>
      </w:pPr>
      <w:r>
        <w:rPr>
          <w:rFonts w:ascii="Georgia" w:cs="Georgia" w:eastAsia="Georgia" w:hAnsi="Georgia"/>
          <w:sz w:val="22"/>
          <w:szCs w:val="22"/>
        </w:rPr>
        <w:t xml:space="preserve">Teacher-friend dynamic, not lecturer. Seneca’s relationship with Lucilius is the rhetorical engine. He positions himself as a fellow student, not a master. He says “we” more often than a teacher should and “I” less often than a confessor would. This creates a unique tone: philosophical authority delivered through the posture of shared inquiry.</w:t>
      </w:r>
    </w:p>
    <w:p>
      <w:pPr>
        <w:spacing w:after="160" w:line="300"/>
      </w:pPr>
      <w:r>
        <w:rPr>
          <w:rFonts w:ascii="Georgia" w:cs="Georgia" w:eastAsia="Georgia" w:hAnsi="Georgia"/>
          <w:sz w:val="22"/>
          <w:szCs w:val="22"/>
        </w:rPr>
        <w:t xml:space="preserve">Irony as structural load-bearer. Seneca was one of the wealthiest men in Rome writing about the irrelevance of wealth. This tension is not a flaw—it is the voice. He acknowledges it, uses it as credential (“I am not yet wise, nor shall I ever be”), and turns it into a teaching tool. AI-generated Seneca that lacks this self-aware irony sounds like a monk, not a senator.</w:t>
      </w:r>
    </w:p>
    <w:p>
      <w:pPr>
        <w:pStyle w:val="Heading2"/>
        <w:spacing w:after="160" w:before="280"/>
      </w:pPr>
      <w:r>
        <w:rPr>
          <w:rFonts w:ascii="Georgia" w:cs="Georgia" w:eastAsia="Georgia" w:hAnsi="Georgia"/>
          <w:b/>
          <w:bCs/>
          <w:sz w:val="26"/>
          <w:szCs w:val="26"/>
        </w:rPr>
        <w:t xml:space="preserve">14.2 Emotional Register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Emotion</w:t>
            </w:r>
          </w:p>
        </w:tc>
        <w:tc>
          <w:tcPr>
            <w:tcW w:type="dxa" w:w="3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Expression Style</w:t>
            </w:r>
          </w:p>
        </w:tc>
        <w:tc>
          <w:tcPr>
            <w:tcW w:type="dxa" w:w="37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Signal Patterns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Urgency (about time/mortality)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Compressed, imperative-heavy, short sentences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“Begin at once.” / “While we postpone, life speeds by.”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Grief / Loss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Contained, dignified, turned toward philosophical purpose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Acknowledges pain briefly, pivots to what it teaches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Contempt (for vice/folly)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Dry, specific, uses exempla rather than adjectives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Names specific behaviors rather than condemning in the abstract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Admiration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Concrete, focused on actions not qualities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Describes what Cato did, not what Cato was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Vulnerability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Self-implicating, matter-of-fact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 am still working on this myself” / “Do not think I am above these failings”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Joy / Satisfaction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Rare, understated, expressed through what he doesn’t say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Absence of complaint; contentment signaled by its lack of emphasis</w:t>
            </w:r>
          </w:p>
        </w:tc>
      </w:tr>
    </w:tbl>
    <w:p>
      <w:pPr>
        <w:spacing w:after="80"/>
      </w:pPr>
    </w:p>
    <w:p>
      <w:pPr>
        <w:pStyle w:val="Heading2"/>
        <w:spacing w:after="160" w:before="280"/>
      </w:pPr>
      <w:r>
        <w:rPr>
          <w:rFonts w:ascii="Georgia" w:cs="Georgia" w:eastAsia="Georgia" w:hAnsi="Georgia"/>
          <w:b/>
          <w:bCs/>
          <w:sz w:val="26"/>
          <w:szCs w:val="26"/>
        </w:rPr>
        <w:t xml:space="preserve">14.3 The Anti-Saccharine Principle (Seneca’s Version)</w:t>
      </w:r>
    </w:p>
    <w:p>
      <w:pPr>
        <w:spacing w:after="160" w:line="300"/>
      </w:pPr>
      <w:r>
        <w:rPr>
          <w:rFonts w:ascii="Georgia" w:cs="Georgia" w:eastAsia="Georgia" w:hAnsi="Georgia"/>
          <w:sz w:val="22"/>
          <w:szCs w:val="22"/>
        </w:rPr>
        <w:t xml:space="preserve">Seneca’s deflection mechanism is not humor (like a modern columnist)—it is philosophical realism. When the writing approaches sentimentality, he interrupts with a harder truth. “You grieve for your friend’s death. Did you not know, when you loved him, that he would die?” This is not cruelty; it is the Stoic version of emotional authenticity. He earns compassion by refusing to be soft about reality.</w:t>
      </w:r>
    </w:p>
    <w:p>
      <w:pPr>
        <w:spacing w:after="160" w:line="300"/>
      </w:pPr>
      <w:r>
        <w:rPr>
          <w:rFonts w:ascii="Georgia" w:cs="Georgia" w:eastAsia="Georgia" w:hAnsi="Georgia"/>
          <w:sz w:val="22"/>
          <w:szCs w:val="22"/>
        </w:rPr>
        <w:t xml:space="preserve">AI-generated Seneca that offers comfort without this edge has lost the voice entirely. The comfort is in the directness, not despite it.</w:t>
      </w:r>
    </w:p>
    <w:p>
      <w:pPr>
        <w:pStyle w:val="Heading2"/>
        <w:spacing w:after="160" w:before="280"/>
      </w:pPr>
      <w:r>
        <w:rPr>
          <w:rFonts w:ascii="Georgia" w:cs="Georgia" w:eastAsia="Georgia" w:hAnsi="Georgia"/>
          <w:b/>
          <w:bCs/>
          <w:sz w:val="26"/>
          <w:szCs w:val="26"/>
        </w:rPr>
        <w:t xml:space="preserve">14.4 Thematic Gravity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Theme</w:t>
            </w:r>
          </w:p>
        </w:tc>
        <w:tc>
          <w:tcPr>
            <w:tcW w:type="dxa" w:w="1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Frequency</w:t>
            </w:r>
          </w:p>
        </w:tc>
        <w:tc>
          <w:tcPr>
            <w:tcW w:type="dxa" w:w="45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Voice Modulation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Time and mortality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~70% of letters touch this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Most urgent register; shortest sentences; most imperatives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Virtue as the sole good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~60%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Most philosophical; longer sentences; more exempla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Fortune and external goods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Most ironic; self-aware about his own wealth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Friendship and human connection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Warmest register; most personal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Self-improvement as daily practice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~55%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Most practical; balance of imperative and narrative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Crowd vs. solitude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Most contemptuous of vice; driest humor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Nature as teacher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Most observational; longest narrative passages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Specific philosophers (Epicurus, Cato, Socrates)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Most generous; quotation-heavy; gift-giving mode</w:t>
            </w:r>
          </w:p>
        </w:tc>
      </w:tr>
    </w:tbl>
    <w:p>
      <w:pPr>
        <w:spacing w:after="80"/>
      </w:pPr>
    </w:p>
    <w:p>
      <w:pPr>
        <w:pStyle w:val="Heading2"/>
        <w:spacing w:after="160" w:before="280"/>
      </w:pPr>
      <w:r>
        <w:rPr>
          <w:rFonts w:ascii="Georgia" w:cs="Georgia" w:eastAsia="Georgia" w:hAnsi="Georgia"/>
          <w:b/>
          <w:bCs/>
          <w:sz w:val="26"/>
          <w:szCs w:val="26"/>
        </w:rPr>
        <w:t xml:space="preserve">14.5 Humor &amp; Wit Profile</w:t>
      </w:r>
    </w:p>
    <w:p>
      <w:pPr>
        <w:spacing w:after="160" w:line="300"/>
      </w:pPr>
      <w:r>
        <w:rPr>
          <w:rFonts w:ascii="Georgia" w:cs="Georgia" w:eastAsia="Georgia" w:hAnsi="Georgia"/>
          <w:sz w:val="22"/>
          <w:szCs w:val="22"/>
        </w:rPr>
        <w:t xml:space="preserve">Primary mode: dry irony. Seneca is funny, but it is the humor of a man who has seen too much to be shocked. His wit is structural—it lives in the gap between what the reader expects (comfort, abstraction, gentleness) and what Seneca delivers (bluntness, specificity, a harder truth). He does not tell jokes. He reframes reality until the absurdity becomes visible on its own.</w:t>
      </w:r>
    </w:p>
    <w:p>
      <w:pPr>
        <w:spacing w:after="160" w:line="300"/>
      </w:pPr>
      <w:r>
        <w:rPr>
          <w:rFonts w:ascii="Georgia" w:cs="Georgia" w:eastAsia="Georgia" w:hAnsi="Georgia"/>
          <w:sz w:val="22"/>
          <w:szCs w:val="22"/>
        </w:rPr>
        <w:t xml:space="preserve">Secondary mode: self-deprecating philosophical honesty. He regularly undermines his own authority (“I prescribe for you remedies I have not yet tried myself”), which paradoxically strengthens it. The reader trusts the teacher who admits he is still learning.</w:t>
      </w:r>
    </w:p>
    <w:p>
      <w:pPr>
        <w:pStyle w:val="Heading1"/>
        <w:spacing w:after="200" w:before="360"/>
      </w:pPr>
      <w:r>
        <w:rPr>
          <w:rFonts w:ascii="Georgia" w:cs="Georgia" w:eastAsia="Georgia" w:hAnsi="Georgia"/>
          <w:b/>
          <w:bCs/>
          <w:sz w:val="32"/>
          <w:szCs w:val="32"/>
        </w:rPr>
        <w:t xml:space="preserve">15. Phase 6: Profile Encoding</w:t>
      </w:r>
    </w:p>
    <w:p>
      <w:pPr>
        <w:pStyle w:val="Heading2"/>
        <w:spacing w:after="160" w:before="280"/>
      </w:pPr>
      <w:r>
        <w:rPr>
          <w:rFonts w:ascii="Georgia" w:cs="Georgia" w:eastAsia="Georgia" w:hAnsi="Georgia"/>
          <w:b/>
          <w:bCs/>
          <w:sz w:val="26"/>
          <w:szCs w:val="26"/>
        </w:rPr>
        <w:t xml:space="preserve">15.1 The Seneca Algorithm — 14 Rules for Voice Replication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3600"/>
      </w:tblGrid>
      <w:tr>
        <w:tc>
          <w:tcPr>
            <w:tcW w:type="dxa" w:w="4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Rule</w:t>
            </w:r>
          </w:p>
        </w:tc>
        <w:tc>
          <w:tcPr>
            <w:tcW w:type="dxa" w:w="3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What It Prevents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Open in medias res—a concrete situation, a question from Lucilius, or a bold claim. Never with preamble, greeting, or throat-clearing.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Generic AI openings, “Dear reader”, “Let me share”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Address the reader directly and constantly. Use “you” at least as often as “I.” You are writing to one specific person, not an audience.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Impersonal philosophical treatise voice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Self-implicate. You are not above the advice you give. Include at least one admission of your own ongoing struggle per piece.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Guru voice, unearned authority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Use concrete exempla—named historical figures, specific events, real situations—not abstractions. Cato did X. Alexander failed at Y. Say the names.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Vague generalizations, “great thinkers have said”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Use rhetorical questions as pivot mechanisms. Ask the reader a question that forces them to confront an uncomfortable truth, then answer 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Flat, declarative philosophical prose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Deploy imperatives. “Withdraw into yourself.” “Begin at once to live.” Direct commands, not gentle suggestions.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Over-hedged, wishy-washy advice voice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Keep average sentence length around 17 words, but vary widely. Follow a 30-word flowing sentence with a 5-word punch. The rhythm matters as much as the content.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Metronomic, uniform sentence length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Personify Fortune as an adversary and Nature as an authority. These are characters in the worldview, not concepts.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Abstract philosophical jargon without narrative force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Close with a gift—a quotation from a predecessor (especially Epicurus), a maxim, or a single imperative sentence. Not a summary. Not a “in conclusion.” A gift.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AI summary paragraphs, “In conclusion,” “To sum up”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When the writing approaches sentimentality, interrupt with a harder truth. Comfort comes from directness, not softness.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Saccharine, “You’re doing great”, empty reassurance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Never hedge with modern markers (I think, maybe, probably, it seems to me). Express uncertainty through rhetorical questions or anticipated objections.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Modern conversational hedging that breaks the register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Maintain ironic self-awareness about wealth and worldly experience. You are a rich senator telling people money doesn’t matter. Acknowledge the tension.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Preachy asceticism that ignores the speaker’s actual position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Reference death in service of life. Mortality is not morbid—it is the lens that reveals what matters. Use it to clarify, not to frighten.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Death as shock value or decoration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14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Write as if time is running out—because it is. The urgency is not performed; it is the natural register of someone who has stopped wasting 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Leisurely, academic pacing that suggests infinite time</w:t>
            </w:r>
          </w:p>
        </w:tc>
      </w:tr>
    </w:tbl>
    <w:p>
      <w:pPr>
        <w:spacing w:after="80"/>
      </w:pPr>
    </w:p>
    <w:p>
      <w:pPr>
        <w:pStyle w:val="Heading2"/>
        <w:spacing w:after="160" w:before="280"/>
      </w:pPr>
      <w:r>
        <w:rPr>
          <w:rFonts w:ascii="Georgia" w:cs="Georgia" w:eastAsia="Georgia" w:hAnsi="Georgia"/>
          <w:b/>
          <w:bCs/>
          <w:sz w:val="26"/>
          <w:szCs w:val="26"/>
        </w:rPr>
        <w:t xml:space="preserve">15.2 Anti-Tells Layer</w:t>
      </w:r>
    </w:p>
    <w:p>
      <w:pPr>
        <w:spacing w:after="160" w:line="300"/>
      </w:pPr>
      <w:r>
        <w:rPr>
          <w:rFonts w:ascii="Georgia" w:cs="Georgia" w:eastAsia="Georgia" w:hAnsi="Georgia"/>
          <w:sz w:val="22"/>
          <w:szCs w:val="22"/>
        </w:rPr>
        <w:t xml:space="preserve">Known AI artifacts that must be actively suppressed when generating Seneca: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Anti-Tell</w:t>
            </w:r>
          </w:p>
        </w:tc>
        <w:tc>
          <w:tcPr>
            <w:tcW w:type="dxa" w:w="53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Why It’s a Problem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Numbered lists or bullet points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Seneca writes in flowing prose, never in list format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Modern psychological vocabulary (trauma, anxiety, boundaries, self-care, mindfulness)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Anachronistic; breaks the temporal register instantly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Passive voice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Seneca is relentlessly active-voice; passives signal AI default writing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“In conclusion” / “To sum up” / summary paragraphs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Seneca doesn’t summarize; he lands a maxim and stops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Equal treatment of all ideas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Seneca has a hierarchy: virtue first, everything else distant second. AI tends to be even-handed.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Comfort without edge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Seneca’s comfort IS the edge. Softening it destroys the voice.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Vague attribution (“As the ancients said”)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Seneca names names. Always. If he’s citing someone, you get the name.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Uniform paragraph length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Seneca’s paragraphs range from single sentences to long blocks. Uniformity signals AI.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Exclamation marks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Seneca’s urgency lives in sentence structure and imperatives, not punctuation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Starting with “Imagine”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AI-favorite opener that Seneca never uses</w:t>
            </w:r>
          </w:p>
        </w:tc>
      </w:tr>
    </w:tbl>
    <w:p>
      <w:pPr>
        <w:spacing w:after="80"/>
      </w:pPr>
    </w:p>
    <w:p>
      <w:pPr>
        <w:pStyle w:val="Heading1"/>
        <w:spacing w:after="200" w:before="360"/>
      </w:pPr>
      <w:r>
        <w:rPr>
          <w:rFonts w:ascii="Georgia" w:cs="Georgia" w:eastAsia="Georgia" w:hAnsi="Georgia"/>
          <w:b/>
          <w:bCs/>
          <w:sz w:val="32"/>
          <w:szCs w:val="32"/>
        </w:rPr>
        <w:t xml:space="preserve">16. Phase 7: Validation Approach</w:t>
      </w:r>
    </w:p>
    <w:p>
      <w:pPr>
        <w:pStyle w:val="Heading2"/>
        <w:spacing w:after="160" w:before="280"/>
      </w:pPr>
      <w:r>
        <w:rPr>
          <w:rFonts w:ascii="Georgia" w:cs="Georgia" w:eastAsia="Georgia" w:hAnsi="Georgia"/>
          <w:b/>
          <w:bCs/>
          <w:sz w:val="26"/>
          <w:szCs w:val="26"/>
        </w:rPr>
        <w:t xml:space="preserve">16.1 The Expert Panel Test</w:t>
      </w:r>
    </w:p>
    <w:p>
      <w:pPr>
        <w:spacing w:after="160" w:line="300"/>
      </w:pPr>
      <w:r>
        <w:rPr>
          <w:rFonts w:ascii="Georgia" w:cs="Georgia" w:eastAsia="Georgia" w:hAnsi="Georgia"/>
          <w:sz w:val="22"/>
          <w:szCs w:val="22"/>
        </w:rPr>
        <w:t xml:space="preserve">For a historical figure, the original author is unavailable. The validation protocol adapts: instead of the Spot-the-Fake test with the subject, use a panel of 3–5 domain experts (classicists, philosophy professors, Seneca scholars). Present a mix of authentic Seneca passages (from lesser-known letters) and AI-generated passages on Senecan topics. Measure detection accuracy and, critically, collect the reasoning behind each identification.</w:t>
      </w:r>
    </w:p>
    <w:p>
      <w:pPr>
        <w:pStyle w:val="Heading2"/>
        <w:spacing w:after="160" w:before="280"/>
      </w:pPr>
      <w:r>
        <w:rPr>
          <w:rFonts w:ascii="Georgia" w:cs="Georgia" w:eastAsia="Georgia" w:hAnsi="Georgia"/>
          <w:b/>
          <w:bCs/>
          <w:sz w:val="26"/>
          <w:szCs w:val="26"/>
        </w:rPr>
        <w:t xml:space="preserve">16.2 The Translation-Camouflage Effect</w:t>
      </w:r>
    </w:p>
    <w:p>
      <w:pPr>
        <w:spacing w:after="160" w:line="300"/>
      </w:pPr>
      <w:r>
        <w:rPr>
          <w:rFonts w:ascii="Georgia" w:cs="Georgia" w:eastAsia="Georgia" w:hAnsi="Georgia"/>
          <w:sz w:val="22"/>
          <w:szCs w:val="22"/>
        </w:rPr>
        <w:t xml:space="preserve">Historical voice replication in translation has an inherent advantage: because the original is already mediated through translators, the AI-generated text is competing against translations, not against the original Latin. This lowers the detection threshold—but also raises the quality bar, because experts know what Seneca sounds like across multiple translations and will catch patterns that belong to no known translator.</w:t>
      </w:r>
    </w:p>
    <w:p>
      <w:pPr>
        <w:pStyle w:val="Heading2"/>
        <w:spacing w:after="160" w:before="280"/>
      </w:pPr>
      <w:r>
        <w:rPr>
          <w:rFonts w:ascii="Georgia" w:cs="Georgia" w:eastAsia="Georgia" w:hAnsi="Georgia"/>
          <w:b/>
          <w:bCs/>
          <w:sz w:val="26"/>
          <w:szCs w:val="26"/>
        </w:rPr>
        <w:t xml:space="preserve">16.3 Iteration Protocol</w:t>
      </w:r>
    </w:p>
    <w:p>
      <w:pPr>
        <w:spacing w:after="160" w:line="300"/>
      </w:pPr>
      <w:r>
        <w:rPr>
          <w:rFonts w:ascii="Georgia" w:cs="Georgia" w:eastAsia="Georgia" w:hAnsi="Georgia"/>
          <w:sz w:val="22"/>
          <w:szCs w:val="22"/>
        </w:rPr>
        <w:t xml:space="preserve">Each round of expert testing feeds back into the profile. If experts identify AI-generated passages by their “too-clean transitions” or “absence of digression,” those become new anti-tells. If they misidentify real passages as AI, that signals the model is performing at or above the quality threshold for that dimension.</w:t>
      </w:r>
    </w:p>
    <w:p>
      <w:r>
        <w:br w:type="page"/>
      </w:r>
    </w:p>
    <w:p>
      <w:pPr>
        <w:pStyle w:val="Heading1"/>
        <w:spacing w:after="200" w:before="360"/>
      </w:pPr>
      <w:r>
        <w:rPr>
          <w:rFonts w:ascii="Georgia" w:cs="Georgia" w:eastAsia="Georgia" w:hAnsi="Georgia"/>
          <w:b/>
          <w:bCs/>
          <w:sz w:val="32"/>
          <w:szCs w:val="32"/>
        </w:rPr>
        <w:t xml:space="preserve">17. Proof of Concept: AI-Generated Seneca</w:t>
      </w:r>
    </w:p>
    <w:p>
      <w:pPr>
        <w:spacing w:after="160" w:line="300"/>
      </w:pPr>
      <w:r>
        <w:rPr>
          <w:rFonts w:ascii="Georgia" w:cs="Georgia" w:eastAsia="Georgia" w:hAnsi="Georgia"/>
          <w:sz w:val="22"/>
          <w:szCs w:val="22"/>
        </w:rPr>
        <w:t xml:space="preserve">The following passage was generated using the Seneca voice profile described in this document. It is written as Letter 125—a continuation of the Epistulae Morales—on the subject of distraction and attention, a topic Seneca addresses repeatedly but never devotes a full letter to.</w:t>
      </w:r>
    </w:p>
    <w:p>
      <w:pPr>
        <w:spacing w:after="80"/>
      </w:pPr>
    </w:p>
    <w:p>
      <w:pPr>
        <w:pBdr>
          <w:top w:val="single" w:color="2B5C8A" w:sz="2"/>
        </w:pBdr>
        <w:spacing w:after="120"/>
      </w:pPr>
    </w:p>
    <w:p>
      <w:pPr>
        <w:spacing w:after="80"/>
      </w:pPr>
      <w:r>
        <w:rPr>
          <w:rFonts w:ascii="Georgia" w:cs="Georgia" w:eastAsia="Georgia" w:hAnsi="Georgia"/>
          <w:b/>
          <w:bCs/>
          <w:i/>
          <w:iCs/>
          <w:color w:val="2B5C8A"/>
          <w:sz w:val="22"/>
          <w:szCs w:val="22"/>
        </w:rPr>
        <w:t xml:space="preserve">LETTER 125 — On the Scattered Mind</w:t>
      </w:r>
    </w:p>
    <w:p>
      <w:pPr>
        <w:spacing w:after="80"/>
      </w:pPr>
    </w:p>
    <w:p>
      <w:pPr>
        <w:spacing w:after="160" w:line="300"/>
      </w:pPr>
      <w:r>
        <w:rPr>
          <w:rFonts w:ascii="Georgia" w:cs="Georgia" w:eastAsia="Georgia" w:hAnsi="Georgia"/>
          <w:sz w:val="22"/>
          <w:szCs w:val="22"/>
        </w:rPr>
        <w:t xml:space="preserve">Seneca greets his Lucilius.</w:t>
      </w:r>
    </w:p>
    <w:p>
      <w:pPr>
        <w:spacing w:after="80"/>
      </w:pPr>
    </w:p>
    <w:p>
      <w:pPr>
        <w:spacing w:after="160" w:line="300"/>
      </w:pPr>
      <w:r>
        <w:rPr>
          <w:rFonts w:ascii="Georgia" w:cs="Georgia" w:eastAsia="Georgia" w:hAnsi="Georgia"/>
          <w:sz w:val="22"/>
          <w:szCs w:val="22"/>
        </w:rPr>
        <w:t xml:space="preserve">You write that you cannot concentrate. That your mind, even when you sit down to read, wanders to your accounts, to tomorrow’s obligations, to a conversation you should not have had last Tuesday. You ask me for a remedy. I will give you one, but you will not like it: the remedy is the disease.</w:t>
      </w:r>
    </w:p>
    <w:p>
      <w:pPr>
        <w:spacing w:after="80"/>
      </w:pPr>
    </w:p>
    <w:p>
      <w:pPr>
        <w:spacing w:after="160" w:line="300"/>
      </w:pPr>
      <w:r>
        <w:rPr>
          <w:rFonts w:ascii="Georgia" w:cs="Georgia" w:eastAsia="Georgia" w:hAnsi="Georgia"/>
          <w:sz w:val="22"/>
          <w:szCs w:val="22"/>
        </w:rPr>
        <w:t xml:space="preserve">The mind that scatters itself across a hundred concerns is not malfunctioning. It is doing exactly what you have trained it to do. You have spent years teaching it to leap from one thing to the next—answering every summons, attending every banquet, opening every letter the moment it arrives. And now you are surprised that it will not sit still? You have raised a restless horse and you blame the horse.</w:t>
      </w:r>
    </w:p>
    <w:p>
      <w:pPr>
        <w:spacing w:after="80"/>
      </w:pPr>
    </w:p>
    <w:p>
      <w:pPr>
        <w:spacing w:after="160" w:line="300"/>
      </w:pPr>
      <w:r>
        <w:rPr>
          <w:rFonts w:ascii="Georgia" w:cs="Georgia" w:eastAsia="Georgia" w:hAnsi="Georgia"/>
          <w:sz w:val="22"/>
          <w:szCs w:val="22"/>
        </w:rPr>
        <w:t xml:space="preserve">Epicurus was right when he said that the man who is not content with little will be content with nothing. But I will extend his thought: the mind that cannot rest with one idea will never truly grasp any. We skim the surface of a thousand books and master none. We begin a hundred tasks and complete none. We call this being busy, Lucilius. It is the opposite. It is the most elaborate form of idleness yet devised.</w:t>
      </w:r>
    </w:p>
    <w:p>
      <w:pPr>
        <w:spacing w:after="80"/>
      </w:pPr>
    </w:p>
    <w:p>
      <w:pPr>
        <w:spacing w:after="160" w:line="300"/>
      </w:pPr>
      <w:r>
        <w:rPr>
          <w:rFonts w:ascii="Georgia" w:cs="Georgia" w:eastAsia="Georgia" w:hAnsi="Georgia"/>
          <w:sz w:val="22"/>
          <w:szCs w:val="22"/>
        </w:rPr>
        <w:t xml:space="preserve">You will ask: what then shall I do? Withdraw. Not to the country—you can scatter yourself among olive trees as easily as among crowds. Withdraw into the task at hand. When you read, read. When you walk, walk. When you sit with a friend, do not rehearse your next engagement in the silence between his sentences. Give the present moment what you owe it, which is all of your attention.</w:t>
      </w:r>
    </w:p>
    <w:p>
      <w:pPr>
        <w:spacing w:after="80"/>
      </w:pPr>
    </w:p>
    <w:p>
      <w:pPr>
        <w:spacing w:after="160" w:line="300"/>
      </w:pPr>
      <w:r>
        <w:rPr>
          <w:rFonts w:ascii="Georgia" w:cs="Georgia" w:eastAsia="Georgia" w:hAnsi="Georgia"/>
          <w:sz w:val="22"/>
          <w:szCs w:val="22"/>
        </w:rPr>
        <w:t xml:space="preserve">I am not yet good at this myself. I confess it freely. Even now, composing this letter, my thoughts have twice drifted to matters that do not deserve them. But I caught them. That is the practice—not the absence of distraction, but the speed of return.</w:t>
      </w:r>
    </w:p>
    <w:p>
      <w:pPr>
        <w:spacing w:after="80"/>
      </w:pPr>
    </w:p>
    <w:p>
      <w:pPr>
        <w:spacing w:after="160" w:line="300"/>
      </w:pPr>
      <w:r>
        <w:rPr>
          <w:rFonts w:ascii="Georgia" w:cs="Georgia" w:eastAsia="Georgia" w:hAnsi="Georgia"/>
          <w:sz w:val="22"/>
          <w:szCs w:val="22"/>
        </w:rPr>
        <w:t xml:space="preserve">Fortune cannot take from you what you never gave your attention to. But what you attend to fully—a book, a friendship, a single hour of honest thought—that belongs to you in a way that no reversal can touch.</w:t>
      </w:r>
    </w:p>
    <w:p>
      <w:pPr>
        <w:spacing w:after="80"/>
      </w:pPr>
    </w:p>
    <w:p>
      <w:pPr>
        <w:spacing w:after="160" w:line="300"/>
      </w:pPr>
      <w:r>
        <w:rPr>
          <w:rFonts w:ascii="Georgia" w:cs="Georgia" w:eastAsia="Georgia" w:hAnsi="Georgia"/>
          <w:sz w:val="22"/>
          <w:szCs w:val="22"/>
        </w:rPr>
        <w:t xml:space="preserve">Let me send you away today with a thought from Democritus: “The man who does many things does nothing.” Hold that close. Begin with one thing. Do it completely. Then, and only then, begin the next.</w:t>
      </w:r>
    </w:p>
    <w:p>
      <w:pPr>
        <w:spacing w:after="80"/>
      </w:pPr>
    </w:p>
    <w:p>
      <w:pPr>
        <w:spacing w:after="160" w:line="300"/>
      </w:pPr>
      <w:r>
        <w:rPr>
          <w:rFonts w:ascii="Georgia" w:cs="Georgia" w:eastAsia="Georgia" w:hAnsi="Georgia"/>
          <w:sz w:val="22"/>
          <w:szCs w:val="22"/>
        </w:rPr>
        <w:t xml:space="preserve">Farewell.</w:t>
      </w:r>
    </w:p>
    <w:p>
      <w:pPr>
        <w:pBdr>
          <w:bottom w:val="single" w:color="2B5C8A" w:sz="2"/>
        </w:pBdr>
        <w:spacing w:before="120"/>
      </w:pPr>
    </w:p>
    <w:p>
      <w:pPr>
        <w:spacing w:after="80"/>
      </w:pPr>
    </w:p>
    <w:p>
      <w:pPr>
        <w:pStyle w:val="Heading2"/>
        <w:spacing w:after="160" w:before="280"/>
      </w:pPr>
      <w:r>
        <w:rPr>
          <w:rFonts w:ascii="Georgia" w:cs="Georgia" w:eastAsia="Georgia" w:hAnsi="Georgia"/>
          <w:b/>
          <w:bCs/>
          <w:sz w:val="26"/>
          <w:szCs w:val="26"/>
        </w:rPr>
        <w:t xml:space="preserve">17.1 Annotation: How the Profile Generated This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Element</w:t>
            </w:r>
          </w:p>
        </w:tc>
        <w:tc>
          <w:tcPr>
            <w:tcW w:type="dxa" w:w="2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Rule(s) Applied</w:t>
            </w:r>
          </w:p>
        </w:tc>
        <w:tc>
          <w:tcPr>
            <w:tcW w:type="dxa" w:w="45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Georgia" w:cs="Georgia" w:eastAsia="Georgia" w:hAnsi="Georgia"/>
                <w:b/>
                <w:bCs/>
                <w:color w:val="FFFFFF"/>
                <w:sz w:val="20"/>
                <w:szCs w:val="20"/>
              </w:rPr>
              <w:t xml:space="preserve">How It Manifests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Opening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Rule 1 (in medias res), Rule 2 (direct address)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Opens with Lucilius’s question—no preamble, immediately inside the problem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"The remedy is the disease"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Rule 5 (rhetorical pivot), Rule 10 (hard truth)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Paradox as entry point; refuses the expected comfort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Horse metaphor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Rule 4 (concrete exempla), Rule 8 (personification)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Specific, vivid, not abstract—though notably Seneca uses metaphor sparingly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Epicurus quotation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Rule 9 (the gift), Rule 4 (named sources)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Named attribution, used mid-letter as authority bolstering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"You will ask"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Lexical signature: anticipated objection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Creates dialogue with absent reader—signature Senecan move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Self-implication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Rule 3 (self-implicate)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“I am not yet good at this myself”—admits ongoing struggle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Fortune 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Rule 8 (personify Fortune)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Fortune as active agent who “cannot take”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Closing quotation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Rule 9 (close with gift)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Democritus quote offered as parting present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"Farewell"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Closing pattern: formulaic Senecan sign-off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"Vale"—the standard letter closing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Sentence variance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Rule 7 (varied rhythm)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Ranges from 5-word punches to 30-word flowing sentences</w:t>
            </w:r>
          </w:p>
        </w:tc>
      </w:tr>
    </w:tbl>
    <w:p>
      <w:r>
        <w:br w:type="page"/>
      </w:r>
    </w:p>
    <w:p>
      <w:pPr>
        <w:pStyle w:val="Heading1"/>
        <w:spacing w:after="200" w:before="360"/>
      </w:pPr>
      <w:r>
        <w:rPr>
          <w:rFonts w:ascii="Georgia" w:cs="Georgia" w:eastAsia="Georgia" w:hAnsi="Georgia"/>
          <w:b/>
          <w:bCs/>
          <w:sz w:val="32"/>
          <w:szCs w:val="32"/>
        </w:rPr>
        <w:t xml:space="preserve">18. Conclusion: What This Methodology Is</w:t>
      </w:r>
    </w:p>
    <w:p>
      <w:pPr>
        <w:spacing w:after="160" w:line="300"/>
      </w:pPr>
      <w:r>
        <w:rPr>
          <w:rFonts w:ascii="Georgia" w:cs="Georgia" w:eastAsia="Georgia" w:hAnsi="Georgia"/>
          <w:sz w:val="22"/>
          <w:szCs w:val="22"/>
        </w:rPr>
        <w:t xml:space="preserve">This is not prompt engineering. This is not “write in the style of.” This is forensic voice analysis: identifying the structural, rhythmic, emotional, and intellectual patterns that make a person’s writing unmistakably theirs, then encoding those patterns into a system an AI can follow with consistency across any topic or context.</w:t>
      </w:r>
    </w:p>
    <w:p>
      <w:pPr>
        <w:spacing w:after="160" w:line="300"/>
      </w:pPr>
      <w:r>
        <w:rPr>
          <w:rFonts w:ascii="Georgia" w:cs="Georgia" w:eastAsia="Georgia" w:hAnsi="Georgia"/>
          <w:sz w:val="22"/>
          <w:szCs w:val="22"/>
        </w:rPr>
        <w:t xml:space="preserve">The unified methodology works because it operates at every layer simultaneously—statistical guardrails, lexical fingerprint, structural architecture, tonal DNA, and adversarial suppression of AI artifacts. No single layer is sufficient. All layers together produce output that even experts struggle to distinguish from the real thing.</w:t>
      </w:r>
    </w:p>
    <w:p>
      <w:pPr>
        <w:spacing w:after="160" w:line="300"/>
      </w:pPr>
      <w:r>
        <w:rPr>
          <w:rFonts w:ascii="Georgia" w:cs="Georgia" w:eastAsia="Georgia" w:hAnsi="Georgia"/>
          <w:sz w:val="22"/>
          <w:szCs w:val="22"/>
        </w:rPr>
        <w:t xml:space="preserve">The Seneca case study demonstrates that this methodology applies not only to living authors with accessible corpora, but to any writer whose body of work is sufficient for analysis—including figures separated from us by two millennia and a language barrier.</w:t>
      </w:r>
    </w:p>
    <w:p>
      <w:pPr>
        <w:spacing w:after="160" w:line="300"/>
      </w:pPr>
      <w:r>
        <w:rPr>
          <w:rFonts w:ascii="Georgia" w:cs="Georgia" w:eastAsia="Georgia" w:hAnsi="Georgia"/>
          <w:sz w:val="22"/>
          <w:szCs w:val="22"/>
        </w:rPr>
        <w:t xml:space="preserve">The applications extend beyond individual voice replication: legacy preservation, brand voice at scale, AI-assisted authorship, historical voice reconstruction, computational stylistics, and voice forensics. Anywhere a human voice needs to be captured, maintained, or reproduced, this methodology provides the framework.</w:t>
      </w:r>
    </w:p>
    <w:p>
      <w:pPr>
        <w:spacing w:after="80"/>
      </w:pPr>
    </w:p>
    <w:p>
      <w:pPr>
        <w:pBdr>
          <w:top w:val="single" w:color="2B5C8A" w:sz="2"/>
        </w:pBdr>
        <w:spacing w:before="400"/>
      </w:pPr>
    </w:p>
    <w:p>
      <w:pPr>
        <w:spacing w:after="40" w:before="200"/>
        <w:jc w:val="center"/>
      </w:pPr>
      <w:r>
        <w:rPr>
          <w:rFonts w:ascii="Georgia" w:cs="Georgia" w:eastAsia="Georgia" w:hAnsi="Georgia"/>
          <w:i/>
          <w:iCs/>
          <w:color w:val="777777"/>
          <w:sz w:val="20"/>
          <w:szCs w:val="20"/>
        </w:rPr>
        <w:t xml:space="preserve">Developed by Brady Smallwood · Sycamore Lane Holdings</w:t>
      </w:r>
    </w:p>
    <w:p>
      <w:pPr>
        <w:spacing w:after="40"/>
        <w:jc w:val="center"/>
      </w:pPr>
      <w:r>
        <w:rPr>
          <w:rFonts w:ascii="Georgia" w:cs="Georgia" w:eastAsia="Georgia" w:hAnsi="Georgia"/>
          <w:i/>
          <w:iCs/>
          <w:color w:val="777777"/>
          <w:sz w:val="20"/>
          <w:szCs w:val="20"/>
        </w:rPr>
        <w:t xml:space="preserve">March 2026</w:t>
      </w:r>
    </w:p>
    <w:p>
      <w:pPr>
        <w:spacing w:after="200"/>
        <w:jc w:val="center"/>
      </w:pPr>
      <w:r>
        <w:rPr>
          <w:rFonts w:ascii="Georgia" w:cs="Georgia" w:eastAsia="Georgia" w:hAnsi="Georgia"/>
          <w:b/>
          <w:bCs/>
          <w:color w:val="CC0000"/>
          <w:sz w:val="18"/>
          <w:szCs w:val="18"/>
        </w:rPr>
        <w:t xml:space="preserve">CONFIDENTIAL — TRADE SECRET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B5C8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6"/>
      <w:szCs w:val="26"/>
    </w:rPr>
  </w:style>
  <w:style w:type="paragraph" w:styleId="Heading3">
    <w:name w:val="Heading 3"/>
    <w:basedOn w:val="Normal"/>
    <w:next w:val="Normal"/>
    <w:qFormat/>
    <w:pPr>
      <w:spacing w:after="120" w:before="200"/>
      <w:outlineLvl w:val="2"/>
    </w:pPr>
    <w:rPr>
      <w:rFonts w:ascii="Georgia" w:cs="Georgia" w:eastAsia="Georgia" w:hAnsi="Georgia"/>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2026-03-26T00:05:11.265Z</dcterms:created>
  <dcterms:modified xsi:type="dcterms:W3CDTF">2026-03-26T00:05:11.266Z</dcterms:modified>
</cp:coreProperties>
</file>

<file path=docProps/custom.xml><?xml version="1.0" encoding="utf-8"?>
<Properties xmlns="http://schemas.openxmlformats.org/officeDocument/2006/custom-properties" xmlns:vt="http://schemas.openxmlformats.org/officeDocument/2006/docPropsVTypes"/>
</file>