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2B5C8A"/>
          <w:sz w:val="36"/>
          <w:szCs w:val="36"/>
        </w:rPr>
        <w:t xml:space="preserve">Statement of Work</w:t>
      </w:r>
    </w:p>
    <w:p>
      <w:pPr>
        <w:spacing w:after="2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CMO AI Agent — Complimentary Pilot Engagement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Client:</w:t>
            </w:r>
          </w:p>
        </w:tc>
        <w:tc>
          <w:tcPr>
            <w:tcW w:type="dxa" w:w="7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Mark Schmulen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Advisory Partner:</w:t>
            </w:r>
          </w:p>
        </w:tc>
        <w:tc>
          <w:tcPr>
            <w:tcW w:type="dxa" w:w="7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Brady Smallwood, Sycamore Lane Holdings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Technical Advisors:</w:t>
            </w:r>
          </w:p>
        </w:tc>
        <w:tc>
          <w:tcPr>
            <w:tcW w:type="dxa" w:w="7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Mark Schmulen &amp; Matthew (CTO)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Date:</w:t>
            </w:r>
          </w:p>
        </w:tc>
        <w:tc>
          <w:tcPr>
            <w:tcW w:type="dxa" w:w="7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March 27,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b/>
                <w:bCs/>
                <w:color w:val="666666"/>
                <w:sz w:val="20"/>
                <w:szCs w:val="20"/>
              </w:rPr>
              <w:t xml:space="preserve">Engagement Type:</w:t>
            </w:r>
          </w:p>
        </w:tc>
        <w:tc>
          <w:tcPr>
            <w:tcW w:type="dxa" w:w="73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Complimentary Pilot</w:t>
            </w:r>
          </w:p>
        </w:tc>
      </w:tr>
    </w:tbl>
    <w:p>
      <w:pPr>
        <w:spacing w:after="60" w:before="60"/>
      </w:pPr>
    </w:p>
    <w:p>
      <w:pPr>
        <w:pStyle w:val="Heading1"/>
      </w:pPr>
      <w:r>
        <w:t xml:space="preserve">Engagement Overview</w:t>
      </w:r>
    </w:p>
    <w:p>
      <w:pPr>
        <w:spacing w:after="120"/>
      </w:pPr>
      <w:r>
        <w:t xml:space="preserve">Sycamore Lane Holdings provides fractional AI advisory services to executives looking to leverage AI agents within their functional areas. This Statement of Work covers a </w:t>
      </w:r>
      <w:r>
        <w:rPr>
          <w:b/>
          <w:bCs/>
        </w:rPr>
        <w:t xml:space="preserve">complimentary pilot engagement</w:t>
      </w:r>
      <w:r>
        <w:t xml:space="preserve"> to build a CMO AI Agent for Mark Schmulen — a purpose-built AI system designed to augment and accelerate the work of a Chief Marketing Officer.</w:t>
      </w:r>
    </w:p>
    <w:p>
      <w:pPr>
        <w:spacing w:after="160"/>
      </w:pPr>
      <w:r>
        <w:t xml:space="preserve">This pilot serves two purposes: (1) deliver immediate, tangible value to Mark by standing up a functional CMO agent, and (2) use this engagement as a live case study to refine Sycamore Lane’s delivery model for AI agent advisory at scale.</w:t>
      </w:r>
    </w:p>
    <w:p>
      <w:pPr>
        <w:pStyle w:val="Heading1"/>
      </w:pPr>
      <w:r>
        <w:t xml:space="preserve">Advisory Partnership — Questions for Mark &amp; Matthew</w:t>
      </w:r>
    </w:p>
    <w:p>
      <w:pPr>
        <w:spacing w:after="100"/>
      </w:pPr>
      <w:r>
        <w:t xml:space="preserve">In exchange for the complimentary pilot, I’m asking Mark and Matthew to think with me on a few strategic and technical questions that will shape how I package and deliver AI agents to future clients: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Delivery Vehicle: What is the best delivery vehicle for packaging and delivering AI agents to clients at scale? Is there a platform, framework, or model that lends itself to repeatability without heavy custom work per engagement?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Infrastructure vs. Value: I’m currently hosting agent scaffolding on GitHub repos, but I feel I’m spending disproportionate time on infrastructure (repo management, DevOps, environment setup) vs. the actual value — the deterministic logic and agent-level tinkering. How do I rebalance?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Client Collaboration: How should I handle feedback loops, visual deliverable sharing, and lightweight collaboration — without running into enterprise security or compliance friction for small advisory engagements?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Scalable Architecture: What’s the right technical approach if I want to rinse-and-repeat this CMO agent across multiple clients? What should be templated vs. customized per engagement?</w:t>
      </w:r>
    </w:p>
    <w:p>
      <w:pPr>
        <w:spacing w:after="160" w:before="40"/>
      </w:pPr>
      <w:r>
        <w:rPr>
          <w:i/>
          <w:iCs/>
          <w:color w:val="666666"/>
        </w:rPr>
        <w:t xml:space="preserve">These don’t need formal answers — just your thinking. A call, a whiteboard session, or async notes all work.</w:t>
      </w:r>
    </w:p>
    <w:p>
      <w:pPr>
        <w:pStyle w:val="Heading1"/>
      </w:pPr>
      <w:r>
        <w:t xml:space="preserve">Scope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 Included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Design and build of a CMO AI Agent tailored to Mark’s workflows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Iterative refinement based on Mark’s feedback during pilot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Documentation of agent logic, prompts, and configuration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Advisory conversations with Mark &amp; Matthew on delivery 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Ongoing agent maintenance post-pilot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Integration with proprietary or production systems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Guaranteed SLAs, uptime, or support commitments</w:t>
            </w:r>
          </w:p>
          <w:p>
            <w:pPr>
              <w:spacing w:after="60"/>
            </w:pPr>
            <w:r>
              <w:rPr>
                <w:color w:val="2B5C8A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 xml:space="preserve">Work outside the CMO agent scope (e.g., other functional agents)</w:t>
            </w:r>
          </w:p>
        </w:tc>
      </w:tr>
    </w:tbl>
    <w:p>
      <w:pPr>
        <w:spacing w:after="40" w:before="200"/>
      </w:pPr>
    </w:p>
    <w:p>
      <w:pPr>
        <w:pBdr>
          <w:top w:val="single" w:color="CCCCCC" w:sz="2" w:space="8"/>
        </w:pBdr>
        <w:spacing w:after="60"/>
      </w:pPr>
      <w:r>
        <w:rPr>
          <w:i w:val="false"/>
          <w:iCs w:val="false"/>
          <w:color w:val="555555"/>
          <w:sz w:val="20"/>
          <w:szCs w:val="20"/>
        </w:rPr>
        <w:t xml:space="preserve">This is a founder-to-founder engagement — no legal overhead, no procurement gauntlet. If the pilot delivers value, we’ll talk about what a paid engagement looks like. If it doesn’t, we both learned something.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Brady Smallwood</w:t>
      </w:r>
    </w:p>
    <w:p>
      <w:pPr>
        <w:spacing w:after="0"/>
      </w:pPr>
      <w:r>
        <w:rPr>
          <w:color w:val="666666"/>
          <w:sz w:val="20"/>
          <w:szCs w:val="20"/>
        </w:rPr>
        <w:t xml:space="preserve">Sycamore Lane Holdings</w:t>
      </w:r>
    </w:p>
    <w:p>
      <w:r>
        <w:rPr>
          <w:color w:val="2B5C8A"/>
          <w:sz w:val="20"/>
          <w:szCs w:val="20"/>
        </w:rPr>
        <w:t xml:space="preserve">brady.smallwood@gmail.com</w:t>
      </w:r>
    </w:p>
    <w:sectPr>
      <w:headerReference w:type="default" r:id="rId7"/>
      <w:pgSz w:w="12240" w:h="15840" w:orient="portrait"/>
      <w:pgMar w:top="108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C8A" w:sz="4" w:space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B5C8A"/>
        <w:sz w:val="18"/>
        <w:szCs w:val="18"/>
      </w:rPr>
      <w:t xml:space="preserve">SYCAMORE LANE HOLDINGS</w:t>
    </w:r>
    <w:r>
      <w:rPr>
        <w:rFonts w:ascii="Arial" w:cs="Arial" w:eastAsia="Arial" w:hAnsi="Arial"/>
        <w:color w:val="888888"/>
        <w:sz w:val="18"/>
        <w:szCs w:val="18"/>
      </w:rPr>
      <w:t xml:space="preserve">	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B5C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2026-03-27T15:48:53.202Z</dcterms:created>
  <dcterms:modified xsi:type="dcterms:W3CDTF">2026-03-27T15:48:53.203Z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