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CWIS Equity Formula and Database Impact Analysis</w:t>
      </w:r>
    </w:p>
    <w:p>
      <w:pPr>
        <w:spacing w:after="240"/>
      </w:pPr>
      <w:r>
        <w:rPr>
          <w:rFonts w:ascii="Arial" w:hAnsi="Arial"/>
          <w:color w:val="000000"/>
          <w:sz w:val="22"/>
        </w:rPr>
        <w:t>Comparison of current IMIS calculations with the proposed equity indicator specification</w:t>
      </w:r>
    </w:p>
    <w:p>
      <w:pPr>
        <w:spacing w:after="140" w:line="269" w:lineRule="auto"/>
      </w:pPr>
      <w:r>
        <w:t>The current IMIS implementation calculates EQ 1 and already derives a building level safely managed sanitation status. The remaining indicators are either not implemented or require additional data and evidence. No application code database schema stored procedure or data was changed during this assessment.</w:t>
      </w:r>
    </w:p>
    <w:p>
      <w:pPr>
        <w:spacing w:after="140" w:line="269" w:lineRule="auto"/>
      </w:pPr>
      <w:r>
        <w:rPr>
          <w:b/>
        </w:rPr>
        <w:t xml:space="preserve">Main conclusion  </w:t>
      </w:r>
      <w:r>
        <w:t>The mathematical structure of EQ 1 is the same in both versions but its meaning and inputs are not fully aligned. The current calculation uses safely managed sanitation while the proposed specification describes improved sanitation. SF 0a can reuse existing classification logic after validation. SF 0b SF 0c and EQ 2 are largely derivable. EQ 3 through EQ 6 5 require new information or evidence storage.</w:t>
      </w:r>
    </w:p>
    <w:p>
      <w:pPr>
        <w:pStyle w:val="Heading1"/>
      </w:pPr>
      <w:r>
        <w:t>Current database position</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300"/>
            <w:tcMar>
              <w:top w:w="110" w:type="dxa"/>
              <w:start w:w="110" w:type="dxa"/>
              <w:bottom w:w="110" w:type="dxa"/>
              <w:end w:w="110" w:type="dxa"/>
            </w:tcMar>
            <w:shd w:fill="17365D"/>
            <w:vAlign w:val="center"/>
          </w:tcPr>
          <w:p>
            <w:pPr>
              <w:spacing w:before="0" w:after="0" w:line="252" w:lineRule="auto"/>
              <w:jc w:val="center"/>
            </w:pPr>
            <w:r>
              <w:rPr>
                <w:rFonts w:ascii="Arial" w:hAnsi="Arial"/>
                <w:b/>
                <w:color w:val="FFFFFF"/>
                <w:sz w:val="18"/>
              </w:rPr>
              <w:t>Database area</w:t>
            </w:r>
          </w:p>
        </w:tc>
        <w:tc>
          <w:tcPr>
            <w:tcW w:type="dxa" w:w="1100"/>
            <w:tcMar>
              <w:top w:w="110" w:type="dxa"/>
              <w:start w:w="110" w:type="dxa"/>
              <w:bottom w:w="110" w:type="dxa"/>
              <w:end w:w="110" w:type="dxa"/>
            </w:tcMar>
            <w:shd w:fill="17365D"/>
            <w:vAlign w:val="center"/>
          </w:tcPr>
          <w:p>
            <w:pPr>
              <w:spacing w:before="0" w:after="0" w:line="252" w:lineRule="auto"/>
              <w:jc w:val="center"/>
            </w:pPr>
            <w:r>
              <w:rPr>
                <w:rFonts w:ascii="Arial" w:hAnsi="Arial"/>
                <w:b/>
                <w:color w:val="FFFFFF"/>
                <w:sz w:val="18"/>
              </w:rPr>
              <w:t>Current count</w:t>
            </w:r>
          </w:p>
        </w:tc>
        <w:tc>
          <w:tcPr>
            <w:tcW w:type="dxa" w:w="5960"/>
            <w:tcMar>
              <w:top w:w="110" w:type="dxa"/>
              <w:start w:w="110" w:type="dxa"/>
              <w:bottom w:w="110" w:type="dxa"/>
              <w:end w:w="110" w:type="dxa"/>
            </w:tcMar>
            <w:shd w:fill="17365D"/>
            <w:vAlign w:val="center"/>
          </w:tcPr>
          <w:p>
            <w:pPr>
              <w:spacing w:before="0" w:after="0" w:line="252" w:lineRule="auto"/>
              <w:jc w:val="center"/>
            </w:pPr>
            <w:r>
              <w:rPr>
                <w:rFonts w:ascii="Arial" w:hAnsi="Arial"/>
                <w:b/>
                <w:color w:val="FFFFFF"/>
                <w:sz w:val="18"/>
              </w:rPr>
              <w:t>Meaning for implementation</w:t>
            </w:r>
          </w:p>
        </w:tc>
      </w:tr>
      <w:tr>
        <w:trPr>
          <w:cantSplit/>
        </w:trPr>
        <w:tc>
          <w:tcPr>
            <w:tcW w:type="dxa" w:w="230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Active buildings</w:t>
            </w:r>
          </w:p>
        </w:tc>
        <w:tc>
          <w:tcPr>
            <w:tcW w:type="dxa" w:w="1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15990</w:t>
            </w:r>
          </w:p>
        </w:tc>
        <w:tc>
          <w:tcPr>
            <w:tcW w:type="dxa" w:w="59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Core sanitation fields are populated for approximately 97 to 98 percent of active buildings</w:t>
            </w:r>
          </w:p>
        </w:tc>
      </w:tr>
      <w:tr>
        <w:trPr>
          <w:cantSplit/>
        </w:trPr>
        <w:tc>
          <w:tcPr>
            <w:tcW w:type="dxa" w:w="230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Buildings linked to low income communities</w:t>
            </w:r>
          </w:p>
        </w:tc>
        <w:tc>
          <w:tcPr>
            <w:tcW w:type="dxa" w:w="1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55</w:t>
            </w:r>
          </w:p>
        </w:tc>
        <w:tc>
          <w:tcPr>
            <w:tcW w:type="dxa" w:w="59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EQ 1 and EQ 2 depend on the completeness of this linkage</w:t>
            </w:r>
          </w:p>
        </w:tc>
      </w:tr>
      <w:tr>
        <w:trPr>
          <w:cantSplit/>
        </w:trPr>
        <w:tc>
          <w:tcPr>
            <w:tcW w:type="dxa" w:w="230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Active containments</w:t>
            </w:r>
          </w:p>
        </w:tc>
        <w:tc>
          <w:tcPr>
            <w:tcW w:type="dxa" w:w="1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11752</w:t>
            </w:r>
          </w:p>
        </w:tc>
        <w:tc>
          <w:tcPr>
            <w:tcW w:type="dxa" w:w="59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Building links are held in building_info build_contains</w:t>
            </w:r>
          </w:p>
        </w:tc>
      </w:tr>
      <w:tr>
        <w:trPr>
          <w:cantSplit/>
        </w:trPr>
        <w:tc>
          <w:tcPr>
            <w:tcW w:type="dxa" w:w="230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Sewer lines</w:t>
            </w:r>
          </w:p>
        </w:tc>
        <w:tc>
          <w:tcPr>
            <w:tcW w:type="dxa" w:w="1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129</w:t>
            </w:r>
          </w:p>
        </w:tc>
        <w:tc>
          <w:tcPr>
            <w:tcW w:type="dxa" w:w="59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All active sewer lines have a treatment plant link</w:t>
            </w:r>
          </w:p>
        </w:tc>
      </w:tr>
      <w:tr>
        <w:trPr>
          <w:cantSplit/>
        </w:trPr>
        <w:tc>
          <w:tcPr>
            <w:tcW w:type="dxa" w:w="230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Drains</w:t>
            </w:r>
          </w:p>
        </w:tc>
        <w:tc>
          <w:tcPr>
            <w:tcW w:type="dxa" w:w="1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5</w:t>
            </w:r>
          </w:p>
        </w:tc>
        <w:tc>
          <w:tcPr>
            <w:tcW w:type="dxa" w:w="59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No active drain currently has a treatment plant link</w:t>
            </w:r>
          </w:p>
        </w:tc>
      </w:tr>
      <w:tr>
        <w:trPr>
          <w:cantSplit/>
        </w:trPr>
        <w:tc>
          <w:tcPr>
            <w:tcW w:type="dxa" w:w="230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Sanitation worker records</w:t>
            </w:r>
          </w:p>
        </w:tc>
        <w:tc>
          <w:tcPr>
            <w:tcW w:type="dxa" w:w="1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12</w:t>
            </w:r>
          </w:p>
        </w:tc>
        <w:tc>
          <w:tcPr>
            <w:tcW w:type="dxa" w:w="59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Gender wage and training status are present but citywide coverage is not established</w:t>
            </w:r>
          </w:p>
        </w:tc>
      </w:tr>
      <w:tr>
        <w:trPr>
          <w:cantSplit/>
        </w:trPr>
        <w:tc>
          <w:tcPr>
            <w:tcW w:type="dxa" w:w="230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CWIS indicator definitions</w:t>
            </w:r>
          </w:p>
        </w:tc>
        <w:tc>
          <w:tcPr>
            <w:tcW w:type="dxa" w:w="1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22</w:t>
            </w:r>
          </w:p>
        </w:tc>
        <w:tc>
          <w:tcPr>
            <w:tcW w:type="dxa" w:w="59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The current list contains EQ 1 and the older safety indicators</w:t>
            </w:r>
          </w:p>
        </w:tc>
      </w:tr>
      <w:tr>
        <w:trPr>
          <w:cantSplit/>
        </w:trPr>
        <w:tc>
          <w:tcPr>
            <w:tcW w:type="dxa" w:w="230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CWIS annual result rows</w:t>
            </w:r>
          </w:p>
        </w:tc>
        <w:tc>
          <w:tcPr>
            <w:tcW w:type="dxa" w:w="1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66</w:t>
            </w:r>
          </w:p>
        </w:tc>
        <w:tc>
          <w:tcPr>
            <w:tcW w:type="dxa" w:w="59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Complete sets exist for 2022 2023 and 2024</w:t>
            </w:r>
          </w:p>
        </w:tc>
      </w:tr>
    </w:tbl>
    <w:p>
      <w:pPr>
        <w:spacing w:after="0"/>
      </w:pPr>
    </w:p>
    <w:p>
      <w:pPr>
        <w:pStyle w:val="Heading1"/>
      </w:pPr>
      <w:r>
        <w:t>Formula comparison</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760"/>
            <w:tcMar>
              <w:top w:w="110" w:type="dxa"/>
              <w:start w:w="110" w:type="dxa"/>
              <w:bottom w:w="110" w:type="dxa"/>
              <w:end w:w="110" w:type="dxa"/>
            </w:tcMar>
            <w:shd w:fill="17365D"/>
            <w:vAlign w:val="center"/>
          </w:tcPr>
          <w:p>
            <w:pPr>
              <w:spacing w:before="0" w:after="0" w:line="252" w:lineRule="auto"/>
              <w:jc w:val="center"/>
            </w:pPr>
            <w:r>
              <w:rPr>
                <w:rFonts w:ascii="Arial" w:hAnsi="Arial"/>
                <w:b/>
                <w:color w:val="FFFFFF"/>
                <w:sz w:val="18"/>
              </w:rPr>
              <w:t>Code</w:t>
            </w:r>
          </w:p>
        </w:tc>
        <w:tc>
          <w:tcPr>
            <w:tcW w:type="dxa" w:w="3100"/>
            <w:tcMar>
              <w:top w:w="110" w:type="dxa"/>
              <w:start w:w="110" w:type="dxa"/>
              <w:bottom w:w="110" w:type="dxa"/>
              <w:end w:w="110" w:type="dxa"/>
            </w:tcMar>
            <w:shd w:fill="17365D"/>
            <w:vAlign w:val="center"/>
          </w:tcPr>
          <w:p>
            <w:pPr>
              <w:spacing w:before="0" w:after="0" w:line="252" w:lineRule="auto"/>
              <w:jc w:val="center"/>
            </w:pPr>
            <w:r>
              <w:rPr>
                <w:rFonts w:ascii="Arial" w:hAnsi="Arial"/>
                <w:b/>
                <w:color w:val="FFFFFF"/>
                <w:sz w:val="18"/>
              </w:rPr>
              <w:t>Before formula in IMIS</w:t>
            </w:r>
          </w:p>
        </w:tc>
        <w:tc>
          <w:tcPr>
            <w:tcW w:type="dxa" w:w="3860"/>
            <w:tcMar>
              <w:top w:w="110" w:type="dxa"/>
              <w:start w:w="110" w:type="dxa"/>
              <w:bottom w:w="110" w:type="dxa"/>
              <w:end w:w="110" w:type="dxa"/>
            </w:tcMar>
            <w:shd w:fill="17365D"/>
            <w:vAlign w:val="center"/>
          </w:tcPr>
          <w:p>
            <w:pPr>
              <w:spacing w:before="0" w:after="0" w:line="252" w:lineRule="auto"/>
              <w:jc w:val="center"/>
            </w:pPr>
            <w:r>
              <w:rPr>
                <w:rFonts w:ascii="Arial" w:hAnsi="Arial"/>
                <w:b/>
                <w:color w:val="FFFFFF"/>
                <w:sz w:val="18"/>
              </w:rPr>
              <w:t>New formula or rule</w:t>
            </w:r>
          </w:p>
        </w:tc>
        <w:tc>
          <w:tcPr>
            <w:tcW w:type="dxa" w:w="1640"/>
            <w:tcMar>
              <w:top w:w="110" w:type="dxa"/>
              <w:start w:w="110" w:type="dxa"/>
              <w:bottom w:w="110" w:type="dxa"/>
              <w:end w:w="110" w:type="dxa"/>
            </w:tcMar>
            <w:shd w:fill="17365D"/>
            <w:vAlign w:val="center"/>
          </w:tcPr>
          <w:p>
            <w:pPr>
              <w:spacing w:before="0" w:after="0" w:line="252" w:lineRule="auto"/>
              <w:jc w:val="center"/>
            </w:pPr>
            <w:r>
              <w:rPr>
                <w:rFonts w:ascii="Arial" w:hAnsi="Arial"/>
                <w:b/>
                <w:color w:val="FFFFFF"/>
                <w:sz w:val="18"/>
              </w:rPr>
              <w:t>Status</w:t>
            </w:r>
          </w:p>
        </w:tc>
      </w:tr>
      <w:tr>
        <w:trPr>
          <w:cantSplit/>
        </w:trPr>
        <w:tc>
          <w:tcPr>
            <w:tcW w:type="dxa" w:w="76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SF 0a</w:t>
            </w:r>
          </w:p>
        </w:tc>
        <w:tc>
          <w:tcPr>
            <w:tcW w:type="dxa" w:w="3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No separate result. Existing function derives safe or unsafe status for each building.</w:t>
            </w:r>
          </w:p>
        </w:tc>
        <w:tc>
          <w:tcPr>
            <w:tcW w:type="dxa" w:w="38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COUNT DISTINCT bin where safely managed equals Yes.</w:t>
            </w:r>
          </w:p>
        </w:tc>
        <w:tc>
          <w:tcPr>
            <w:tcW w:type="dxa" w:w="1640"/>
            <w:tcMar>
              <w:top w:w="100" w:type="dxa"/>
              <w:start w:w="110" w:type="dxa"/>
              <w:bottom w:w="100" w:type="dxa"/>
              <w:end w:w="110" w:type="dxa"/>
            </w:tcMar>
            <w:vAlign w:val="center"/>
            <w:shd w:fill="FFF2CC"/>
          </w:tcPr>
          <w:p>
            <w:pPr>
              <w:spacing w:before="0" w:after="0" w:line="252" w:lineRule="auto"/>
              <w:jc w:val="center"/>
            </w:pPr>
            <w:r>
              <w:rPr>
                <w:rFonts w:ascii="Arial" w:hAnsi="Arial"/>
                <w:b w:val="0"/>
                <w:color w:val="000000"/>
                <w:sz w:val="17"/>
              </w:rPr>
              <w:t>Partial</w:t>
            </w:r>
          </w:p>
        </w:tc>
      </w:tr>
      <w:tr>
        <w:trPr>
          <w:cantSplit/>
        </w:trPr>
        <w:tc>
          <w:tcPr>
            <w:tcW w:type="dxa" w:w="76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SF 0b</w:t>
            </w:r>
          </w:p>
        </w:tc>
        <w:tc>
          <w:tcPr>
            <w:tcW w:type="dxa" w:w="3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No dedicated formula.</w:t>
            </w:r>
          </w:p>
        </w:tc>
        <w:tc>
          <w:tcPr>
            <w:tcW w:type="dxa" w:w="38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SUM household_with_private_toilet where safely managed equals Yes.</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SF 0c</w:t>
            </w:r>
          </w:p>
        </w:tc>
        <w:tc>
          <w:tcPr>
            <w:tcW w:type="dxa" w:w="3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No dedicated formula.</w:t>
            </w:r>
          </w:p>
        </w:tc>
        <w:tc>
          <w:tcPr>
            <w:tcW w:type="dxa" w:w="38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SUM population_with_private_toilet where safely managed equals Yes.</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EQ 1</w:t>
            </w:r>
          </w:p>
        </w:tc>
        <w:tc>
          <w:tcPr>
            <w:tcW w:type="dxa" w:w="3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Current formula is (a / b) / (c / d) using safely managed private toilet access.</w:t>
            </w:r>
          </w:p>
        </w:tc>
        <w:tc>
          <w:tcPr>
            <w:tcW w:type="dxa" w:w="38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New formula is (a / b) / (c / d) using improved individual toilet access.</w:t>
            </w:r>
          </w:p>
        </w:tc>
        <w:tc>
          <w:tcPr>
            <w:tcW w:type="dxa" w:w="1640"/>
            <w:tcMar>
              <w:top w:w="100" w:type="dxa"/>
              <w:start w:w="110" w:type="dxa"/>
              <w:bottom w:w="100" w:type="dxa"/>
              <w:end w:w="110" w:type="dxa"/>
            </w:tcMar>
            <w:vAlign w:val="center"/>
            <w:shd w:fill="FFF2CC"/>
          </w:tcPr>
          <w:p>
            <w:pPr>
              <w:spacing w:before="0" w:after="0" w:line="252" w:lineRule="auto"/>
              <w:jc w:val="center"/>
            </w:pPr>
            <w:r>
              <w:rPr>
                <w:rFonts w:ascii="Arial" w:hAnsi="Arial"/>
                <w:b w:val="0"/>
                <w:color w:val="000000"/>
                <w:sz w:val="17"/>
              </w:rPr>
              <w:t>Implemented with clarification</w:t>
            </w:r>
          </w:p>
        </w:tc>
      </w:tr>
      <w:tr>
        <w:trPr>
          <w:cantSplit/>
        </w:trPr>
        <w:tc>
          <w:tcPr>
            <w:tcW w:type="dxa" w:w="76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EQ 2</w:t>
            </w:r>
          </w:p>
        </w:tc>
        <w:tc>
          <w:tcPr>
            <w:tcW w:type="dxa" w:w="3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No formula.</w:t>
            </w:r>
          </w:p>
        </w:tc>
        <w:tc>
          <w:tcPr>
            <w:tcW w:type="dxa" w:w="38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Formula is (a / b) / (c / d) using safely managed population.</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EQ 3</w:t>
            </w:r>
          </w:p>
        </w:tc>
        <w:tc>
          <w:tcPr>
            <w:tcW w:type="dxa" w:w="3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No formula or subsidy data.</w:t>
            </w:r>
          </w:p>
        </w:tc>
        <w:tc>
          <w:tcPr>
            <w:tcW w:type="dxa" w:w="38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Formula is a / b where a is non sewered subsidy and b is sewered subsidy.</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EQ 4</w:t>
            </w:r>
          </w:p>
        </w:tc>
        <w:tc>
          <w:tcPr>
            <w:tcW w:type="dxa" w:w="3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No CWIS formula. Employee gender is available for 12 service provider workers.</w:t>
            </w:r>
          </w:p>
        </w:tc>
        <w:tc>
          <w:tcPr>
            <w:tcW w:type="dxa" w:w="38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Formula is (a / b) x 100 where a is women and b is total relevant personnel.</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EQ 4a</w:t>
            </w:r>
          </w:p>
        </w:tc>
        <w:tc>
          <w:tcPr>
            <w:tcW w:type="dxa" w:w="3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No leadership field or formula.</w:t>
            </w:r>
          </w:p>
        </w:tc>
        <w:tc>
          <w:tcPr>
            <w:tcW w:type="dxa" w:w="38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Formula is (a / b) x 100 where a is women leaders and b is total leaders.</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EQ 5</w:t>
            </w:r>
          </w:p>
        </w:tc>
        <w:tc>
          <w:tcPr>
            <w:tcW w:type="dxa" w:w="3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No CWIS formula. Gender and wage fields exist for 12 workers.</w:t>
            </w:r>
          </w:p>
        </w:tc>
        <w:tc>
          <w:tcPr>
            <w:tcW w:type="dxa" w:w="38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Formula is (b - a) / b where a is average female salary and b is average male salary.</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EQ 6 1</w:t>
            </w:r>
          </w:p>
        </w:tc>
        <w:tc>
          <w:tcPr>
            <w:tcW w:type="dxa" w:w="3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Training status exists but does not show whether certification is required.</w:t>
            </w:r>
          </w:p>
        </w:tc>
        <w:tc>
          <w:tcPr>
            <w:tcW w:type="dxa" w:w="38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X equals Yes when an approved requirement and verified evidence exist.</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EQ 6 1a</w:t>
            </w:r>
          </w:p>
        </w:tc>
        <w:tc>
          <w:tcPr>
            <w:tcW w:type="dxa" w:w="3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No formula or curriculum evidence.</w:t>
            </w:r>
          </w:p>
        </w:tc>
        <w:tc>
          <w:tcPr>
            <w:tcW w:type="dxa" w:w="38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X equals Yes when verified training material covers labour rights and recourse.</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EQ 6 1b</w:t>
            </w:r>
          </w:p>
        </w:tc>
        <w:tc>
          <w:tcPr>
            <w:tcW w:type="dxa" w:w="3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No formula or curriculum evidence.</w:t>
            </w:r>
          </w:p>
        </w:tc>
        <w:tc>
          <w:tcPr>
            <w:tcW w:type="dxa" w:w="38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X equals Yes when verified training material covers safety health risks and standard operating procedures.</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EQ 6 2</w:t>
            </w:r>
          </w:p>
        </w:tc>
        <w:tc>
          <w:tcPr>
            <w:tcW w:type="dxa" w:w="3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No formula or evidence field.</w:t>
            </w:r>
          </w:p>
        </w:tc>
        <w:tc>
          <w:tcPr>
            <w:tcW w:type="dxa" w:w="38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X equals Yes when every sanitation worker has a documented legal recourse channel.</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EQ 6 3</w:t>
            </w:r>
          </w:p>
        </w:tc>
        <w:tc>
          <w:tcPr>
            <w:tcW w:type="dxa" w:w="3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No formula or evidence field.</w:t>
            </w:r>
          </w:p>
        </w:tc>
        <w:tc>
          <w:tcPr>
            <w:tcW w:type="dxa" w:w="38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X equals Yes when sanitation workers have a documented right to unionize.</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EQ 6 3a</w:t>
            </w:r>
          </w:p>
        </w:tc>
        <w:tc>
          <w:tcPr>
            <w:tcW w:type="dxa" w:w="3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No formula or evidence field.</w:t>
            </w:r>
          </w:p>
        </w:tc>
        <w:tc>
          <w:tcPr>
            <w:tcW w:type="dxa" w:w="38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X equals Yes when an operational sanitation worker union and supporting records exist.</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EQ 6 3b</w:t>
            </w:r>
          </w:p>
        </w:tc>
        <w:tc>
          <w:tcPr>
            <w:tcW w:type="dxa" w:w="3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No formula or evidence field.</w:t>
            </w:r>
          </w:p>
        </w:tc>
        <w:tc>
          <w:tcPr>
            <w:tcW w:type="dxa" w:w="38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X equals Yes when documented city support for union operation exists.</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EQ 6 4</w:t>
            </w:r>
          </w:p>
        </w:tc>
        <w:tc>
          <w:tcPr>
            <w:tcW w:type="dxa" w:w="31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No social security coverage field.</w:t>
            </w:r>
          </w:p>
        </w:tc>
        <w:tc>
          <w:tcPr>
            <w:tcW w:type="dxa" w:w="38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X equals Yes when all eligible workers are covered or use (covered / eligible) x 100 for partial coverage.</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r>
        <w:trPr>
          <w:cantSplit/>
        </w:trPr>
        <w:tc>
          <w:tcPr>
            <w:tcW w:type="dxa" w:w="76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EQ 6 5</w:t>
            </w:r>
          </w:p>
        </w:tc>
        <w:tc>
          <w:tcPr>
            <w:tcW w:type="dxa" w:w="31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No health insurance coverage field.</w:t>
            </w:r>
          </w:p>
        </w:tc>
        <w:tc>
          <w:tcPr>
            <w:tcW w:type="dxa" w:w="38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X equals Yes when all eligible workers are insured or use (insured / eligible) x 100 for partial coverage.</w:t>
            </w:r>
          </w:p>
        </w:tc>
        <w:tc>
          <w:tcPr>
            <w:tcW w:type="dxa" w:w="1640"/>
            <w:tcMar>
              <w:top w:w="100" w:type="dxa"/>
              <w:start w:w="110" w:type="dxa"/>
              <w:bottom w:w="100" w:type="dxa"/>
              <w:end w:w="110" w:type="dxa"/>
            </w:tcMar>
            <w:vAlign w:val="center"/>
            <w:shd w:fill="FCE4D6"/>
          </w:tcPr>
          <w:p>
            <w:pPr>
              <w:spacing w:before="0" w:after="0" w:line="252" w:lineRule="auto"/>
              <w:jc w:val="center"/>
            </w:pPr>
            <w:r>
              <w:rPr>
                <w:rFonts w:ascii="Arial" w:hAnsi="Arial"/>
                <w:b w:val="0"/>
                <w:color w:val="000000"/>
                <w:sz w:val="17"/>
              </w:rPr>
              <w:t>Not implemented</w:t>
            </w:r>
          </w:p>
        </w:tc>
      </w:tr>
    </w:tbl>
    <w:p>
      <w:pPr>
        <w:spacing w:after="0"/>
      </w:pPr>
    </w:p>
    <w:p>
      <w:pPr>
        <w:pStyle w:val="Heading1"/>
      </w:pPr>
      <w:r>
        <w:t>What is already available</w:t>
      </w:r>
    </w:p>
    <w:p>
      <w:pPr>
        <w:pStyle w:val="ListBullet"/>
      </w:pPr>
      <w:r>
        <w:t>Building population household private toilet population sanitation system sewer drain and low income community fields</w:t>
      </w:r>
    </w:p>
    <w:p>
      <w:pPr>
        <w:pStyle w:val="ListBullet"/>
      </w:pPr>
      <w:r>
        <w:t>Building to containment links through building_info build_contains</w:t>
      </w:r>
    </w:p>
    <w:p>
      <w:pPr>
        <w:pStyle w:val="ListBullet"/>
      </w:pPr>
      <w:r>
        <w:t>Containment types and sanitation system classifications</w:t>
      </w:r>
    </w:p>
    <w:p>
      <w:pPr>
        <w:pStyle w:val="ListBullet"/>
      </w:pPr>
      <w:r>
        <w:t>Sewer and drain links to treatment plants through treatment_plant_id</w:t>
      </w:r>
    </w:p>
    <w:p>
      <w:pPr>
        <w:pStyle w:val="ListBullet"/>
      </w:pPr>
      <w:r>
        <w:t>An existing database function that derives safely managed sanitation status</w:t>
      </w:r>
    </w:p>
    <w:p>
      <w:pPr>
        <w:pStyle w:val="ListBullet"/>
      </w:pPr>
      <w:r>
        <w:t>An implemented EQ 1 database function and yearly result storage</w:t>
      </w:r>
    </w:p>
    <w:p>
      <w:pPr>
        <w:pStyle w:val="ListBullet"/>
      </w:pPr>
      <w:r>
        <w:t>Employee gender wage and training status for the 12 current worker records</w:t>
      </w:r>
    </w:p>
    <w:p>
      <w:pPr>
        <w:pStyle w:val="ListBullet"/>
      </w:pPr>
      <w:r>
        <w:t>CWIS result storage for 2022 through 2024</w:t>
      </w:r>
    </w:p>
    <w:p>
      <w:pPr>
        <w:pStyle w:val="Heading1"/>
      </w:pPr>
      <w:r>
        <w:t>What needs to be added or clarified</w:t>
      </w:r>
    </w:p>
    <w:p>
      <w:pPr>
        <w:pStyle w:val="ListBullet"/>
      </w:pPr>
      <w:r>
        <w:t>A confirmed and versioned definition of safely managed sanitation that matches the new specification</w:t>
      </w:r>
    </w:p>
    <w:p>
      <w:pPr>
        <w:pStyle w:val="ListBullet"/>
      </w:pPr>
      <w:r>
        <w:t>Separate SF 0a SF 0b SF 0c and EQ 2 calculation functions and indicator metadata</w:t>
      </w:r>
    </w:p>
    <w:p>
      <w:pPr>
        <w:pStyle w:val="ListBullet"/>
      </w:pPr>
      <w:r>
        <w:t>Annual subsidy data for EQ 3</w:t>
      </w:r>
    </w:p>
    <w:p>
      <w:pPr>
        <w:pStyle w:val="ListBullet"/>
      </w:pPr>
      <w:r>
        <w:t>A complete list of sanitation personnel and a leadership classification for EQ 4 and EQ 4a</w:t>
      </w:r>
    </w:p>
    <w:p>
      <w:pPr>
        <w:pStyle w:val="ListBullet"/>
      </w:pPr>
      <w:r>
        <w:t>A defined wage period and workforce coverage rule for EQ 5</w:t>
      </w:r>
    </w:p>
    <w:p>
      <w:pPr>
        <w:pStyle w:val="ListBullet"/>
      </w:pPr>
      <w:r>
        <w:t>Annual policy responses supporting documents approval status and audit history for EQ 6 indicators</w:t>
      </w:r>
    </w:p>
    <w:p>
      <w:pPr>
        <w:pStyle w:val="ListBullet"/>
      </w:pPr>
      <w:r>
        <w:t>A consistent EQ 1 output scale because the function returns a zero to one ratio while the current form describes a zero to one hundred percentage</w:t>
      </w:r>
    </w:p>
    <w:p>
      <w:pPr>
        <w:pStyle w:val="ListBullet"/>
      </w:pPr>
      <w:r>
        <w:t>Rules for missing data and zero denominators so unavailable information is not reported as a genuine zero</w:t>
      </w:r>
    </w:p>
    <w:p>
      <w:pPr>
        <w:pStyle w:val="ListBullet"/>
      </w:pPr>
      <w:r>
        <w:t>A historical calculation policy because current functions use construction year and current record values rather than frozen annual snapshots</w:t>
      </w:r>
    </w:p>
    <w:p>
      <w:pPr>
        <w:pStyle w:val="Heading1"/>
      </w:pPr>
      <w:r>
        <w:t>Database field mapping differences</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900"/>
            <w:tcMar>
              <w:top w:w="110" w:type="dxa"/>
              <w:start w:w="110" w:type="dxa"/>
              <w:bottom w:w="110" w:type="dxa"/>
              <w:end w:w="110" w:type="dxa"/>
            </w:tcMar>
            <w:shd w:fill="17365D"/>
            <w:vAlign w:val="center"/>
          </w:tcPr>
          <w:p>
            <w:pPr>
              <w:spacing w:before="0" w:after="0" w:line="252" w:lineRule="auto"/>
              <w:jc w:val="center"/>
            </w:pPr>
            <w:r>
              <w:rPr>
                <w:rFonts w:ascii="Arial" w:hAnsi="Arial"/>
                <w:b/>
                <w:color w:val="FFFFFF"/>
                <w:sz w:val="18"/>
              </w:rPr>
              <w:t>Subject</w:t>
            </w:r>
          </w:p>
        </w:tc>
        <w:tc>
          <w:tcPr>
            <w:tcW w:type="dxa" w:w="3000"/>
            <w:tcMar>
              <w:top w:w="110" w:type="dxa"/>
              <w:start w:w="110" w:type="dxa"/>
              <w:bottom w:w="110" w:type="dxa"/>
              <w:end w:w="110" w:type="dxa"/>
            </w:tcMar>
            <w:shd w:fill="17365D"/>
            <w:vAlign w:val="center"/>
          </w:tcPr>
          <w:p>
            <w:pPr>
              <w:spacing w:before="0" w:after="0" w:line="252" w:lineRule="auto"/>
              <w:jc w:val="center"/>
            </w:pPr>
            <w:r>
              <w:rPr>
                <w:rFonts w:ascii="Arial" w:hAnsi="Arial"/>
                <w:b/>
                <w:color w:val="FFFFFF"/>
                <w:sz w:val="18"/>
              </w:rPr>
              <w:t>Specification reference</w:t>
            </w:r>
          </w:p>
        </w:tc>
        <w:tc>
          <w:tcPr>
            <w:tcW w:type="dxa" w:w="4460"/>
            <w:tcMar>
              <w:top w:w="110" w:type="dxa"/>
              <w:start w:w="110" w:type="dxa"/>
              <w:bottom w:w="110" w:type="dxa"/>
              <w:end w:w="110" w:type="dxa"/>
            </w:tcMar>
            <w:shd w:fill="17365D"/>
            <w:vAlign w:val="center"/>
          </w:tcPr>
          <w:p>
            <w:pPr>
              <w:spacing w:before="0" w:after="0" w:line="252" w:lineRule="auto"/>
              <w:jc w:val="center"/>
            </w:pPr>
            <w:r>
              <w:rPr>
                <w:rFonts w:ascii="Arial" w:hAnsi="Arial"/>
                <w:b/>
                <w:color w:val="FFFFFF"/>
                <w:sz w:val="18"/>
              </w:rPr>
              <w:t>Current IMIS structure</w:t>
            </w:r>
          </w:p>
        </w:tc>
      </w:tr>
      <w:tr>
        <w:trPr>
          <w:cantSplit/>
        </w:trPr>
        <w:tc>
          <w:tcPr>
            <w:tcW w:type="dxa" w:w="190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Building containment</w:t>
            </w:r>
          </w:p>
        </w:tc>
        <w:tc>
          <w:tcPr>
            <w:tcW w:type="dxa" w:w="30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buildings containment_id</w:t>
            </w:r>
          </w:p>
        </w:tc>
        <w:tc>
          <w:tcPr>
            <w:tcW w:type="dxa" w:w="44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building_info build_contains links a building bin to fsm containments</w:t>
            </w:r>
          </w:p>
        </w:tc>
      </w:tr>
      <w:tr>
        <w:trPr>
          <w:cantSplit/>
        </w:trPr>
        <w:tc>
          <w:tcPr>
            <w:tcW w:type="dxa" w:w="190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Sewer treatment plant</w:t>
            </w:r>
          </w:p>
        </w:tc>
        <w:tc>
          <w:tcPr>
            <w:tcW w:type="dxa" w:w="30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sewers tp_id</w:t>
            </w:r>
          </w:p>
        </w:tc>
        <w:tc>
          <w:tcPr>
            <w:tcW w:type="dxa" w:w="44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utility_info sewers treatment_plant_id</w:t>
            </w:r>
          </w:p>
        </w:tc>
      </w:tr>
      <w:tr>
        <w:trPr>
          <w:cantSplit/>
        </w:trPr>
        <w:tc>
          <w:tcPr>
            <w:tcW w:type="dxa" w:w="190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Drain treatment plant</w:t>
            </w:r>
          </w:p>
        </w:tc>
        <w:tc>
          <w:tcPr>
            <w:tcW w:type="dxa" w:w="30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drains tp_id</w:t>
            </w:r>
          </w:p>
        </w:tc>
        <w:tc>
          <w:tcPr>
            <w:tcW w:type="dxa" w:w="44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utility_info drains treatment_plant_id</w:t>
            </w:r>
          </w:p>
        </w:tc>
      </w:tr>
      <w:tr>
        <w:trPr>
          <w:cantSplit/>
        </w:trPr>
        <w:tc>
          <w:tcPr>
            <w:tcW w:type="dxa" w:w="1900"/>
            <w:tcMar>
              <w:top w:w="100" w:type="dxa"/>
              <w:start w:w="110" w:type="dxa"/>
              <w:bottom w:w="100" w:type="dxa"/>
              <w:end w:w="110" w:type="dxa"/>
            </w:tcMar>
            <w:vAlign w:val="center"/>
            <w:shd w:fill="EAF2F8"/>
          </w:tcPr>
          <w:p>
            <w:pPr>
              <w:spacing w:before="0" w:after="0" w:line="252" w:lineRule="auto"/>
              <w:jc w:val="center"/>
            </w:pPr>
            <w:r>
              <w:rPr>
                <w:rFonts w:ascii="Arial" w:hAnsi="Arial"/>
                <w:b/>
                <w:color w:val="000000"/>
                <w:sz w:val="17"/>
              </w:rPr>
              <w:t>Containment type</w:t>
            </w:r>
          </w:p>
        </w:tc>
        <w:tc>
          <w:tcPr>
            <w:tcW w:type="dxa" w:w="300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containments type</w:t>
            </w:r>
          </w:p>
        </w:tc>
        <w:tc>
          <w:tcPr>
            <w:tcW w:type="dxa" w:w="4460"/>
            <w:tcMar>
              <w:top w:w="100" w:type="dxa"/>
              <w:start w:w="110" w:type="dxa"/>
              <w:bottom w:w="100" w:type="dxa"/>
              <w:end w:w="110" w:type="dxa"/>
            </w:tcMar>
            <w:vAlign w:val="center"/>
            <w:shd w:fill="EAF2F8"/>
          </w:tcPr>
          <w:p>
            <w:pPr>
              <w:spacing w:before="0" w:after="0" w:line="252" w:lineRule="auto"/>
              <w:jc w:val="left"/>
            </w:pPr>
            <w:r>
              <w:rPr>
                <w:rFonts w:ascii="Arial" w:hAnsi="Arial"/>
                <w:b w:val="0"/>
                <w:color w:val="000000"/>
                <w:sz w:val="17"/>
              </w:rPr>
              <w:t>fsm containments type_id linked to fsm containment_types type</w:t>
            </w:r>
          </w:p>
        </w:tc>
      </w:tr>
      <w:tr>
        <w:trPr>
          <w:cantSplit/>
        </w:trPr>
        <w:tc>
          <w:tcPr>
            <w:tcW w:type="dxa" w:w="1900"/>
            <w:tcMar>
              <w:top w:w="100" w:type="dxa"/>
              <w:start w:w="110" w:type="dxa"/>
              <w:bottom w:w="100" w:type="dxa"/>
              <w:end w:w="110" w:type="dxa"/>
            </w:tcMar>
            <w:vAlign w:val="center"/>
            <w:shd w:fill="FFFFFF"/>
          </w:tcPr>
          <w:p>
            <w:pPr>
              <w:spacing w:before="0" w:after="0" w:line="252" w:lineRule="auto"/>
              <w:jc w:val="center"/>
            </w:pPr>
            <w:r>
              <w:rPr>
                <w:rFonts w:ascii="Arial" w:hAnsi="Arial"/>
                <w:b/>
                <w:color w:val="000000"/>
                <w:sz w:val="17"/>
              </w:rPr>
              <w:t>Safe sanitation status</w:t>
            </w:r>
          </w:p>
        </w:tc>
        <w:tc>
          <w:tcPr>
            <w:tcW w:type="dxa" w:w="300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buildings safely_manged_sanitation_system</w:t>
            </w:r>
          </w:p>
        </w:tc>
        <w:tc>
          <w:tcPr>
            <w:tcW w:type="dxa" w:w="4460"/>
            <w:tcMar>
              <w:top w:w="100" w:type="dxa"/>
              <w:start w:w="110" w:type="dxa"/>
              <w:bottom w:w="100" w:type="dxa"/>
              <w:end w:w="110" w:type="dxa"/>
            </w:tcMar>
            <w:vAlign w:val="center"/>
            <w:shd w:fill="FFFFFF"/>
          </w:tcPr>
          <w:p>
            <w:pPr>
              <w:spacing w:before="0" w:after="0" w:line="252" w:lineRule="auto"/>
              <w:jc w:val="left"/>
            </w:pPr>
            <w:r>
              <w:rPr>
                <w:rFonts w:ascii="Arial" w:hAnsi="Arial"/>
                <w:b w:val="0"/>
                <w:color w:val="000000"/>
                <w:sz w:val="17"/>
              </w:rPr>
              <w:t>Derived by an existing database function and not stored as a building column</w:t>
            </w:r>
          </w:p>
        </w:tc>
      </w:tr>
    </w:tbl>
    <w:p>
      <w:pPr>
        <w:spacing w:after="0"/>
      </w:pPr>
    </w:p>
    <w:p>
      <w:pPr>
        <w:pStyle w:val="Heading1"/>
      </w:pPr>
      <w:r>
        <w:t>Decisions required before implementation</w:t>
      </w:r>
    </w:p>
    <w:p>
      <w:pPr>
        <w:pStyle w:val="ListNumber"/>
      </w:pPr>
      <w:r>
        <w:t>Confirm whether EQ 1 measures improved sanitation or safely managed sanitation</w:t>
      </w:r>
    </w:p>
    <w:p>
      <w:pPr>
        <w:pStyle w:val="ListNumber"/>
      </w:pPr>
      <w:r>
        <w:t>Choose ratio values from zero to one or percentages from zero to one hundred and use the same scale in the function form dashboard and export</w:t>
      </w:r>
    </w:p>
    <w:p>
      <w:pPr>
        <w:pStyle w:val="ListNumber"/>
      </w:pPr>
      <w:r>
        <w:t>Confirm the population field used by SF 0c and EQ 2</w:t>
      </w:r>
    </w:p>
    <w:p>
      <w:pPr>
        <w:pStyle w:val="ListNumber"/>
      </w:pPr>
      <w:r>
        <w:t>Approve the revised safe sanitation decision rules and regression test every existing indicator that uses them</w:t>
      </w:r>
    </w:p>
    <w:p>
      <w:pPr>
        <w:pStyle w:val="ListNumber"/>
      </w:pPr>
      <w:r>
        <w:t>Choose a normalized evidence structure instead of adding many misspelled annual columns directly to the CWIS table</w:t>
      </w:r>
    </w:p>
    <w:p>
      <w:pPr>
        <w:pStyle w:val="Heading1"/>
      </w:pPr>
      <w:r>
        <w:t>Source and scope</w:t>
      </w:r>
    </w:p>
    <w:p>
      <w:pPr>
        <w:spacing w:after="140" w:line="269" w:lineRule="auto"/>
      </w:pPr>
      <w:r>
        <w:t>The proposed definitions and formulas come from cwis_indiactor_IMIS_02092026_equity.docx. The current state is based on a read only inspection of the local PostgreSQL database and the Laravel CWIS models controllers views seeders and database functions on 4 September 2026.</w:t>
      </w:r>
    </w:p>
    <w:sectPr w:rsidR="00FC693F" w:rsidRPr="0006063C" w:rsidSect="00034616">
      <w:foot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CWIS Equity Formula and Database Impact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