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243447"/>
          <w:sz w:val="46"/>
        </w:rPr>
        <w:t>IMPLEMENTATION BRIEF</w:t>
      </w:r>
    </w:p>
    <w:p>
      <w:pPr>
        <w:spacing w:after="320"/>
      </w:pPr>
      <w:r>
        <w:rPr>
          <w:rFonts w:ascii="Calibri" w:hAnsi="Calibri"/>
          <w:color w:val="667085"/>
          <w:sz w:val="28"/>
        </w:rPr>
        <w:t>Reusable Loading States and Duplicate-Action Prevention for IMIS Revamp</w:t>
      </w:r>
    </w:p>
    <w:p>
      <w:pPr>
        <w:spacing w:after="40"/>
      </w:pPr>
      <w:r>
        <w:rPr>
          <w:rFonts w:ascii="Calibri" w:hAnsi="Calibri"/>
          <w:b/>
          <w:color w:val="243447"/>
          <w:sz w:val="22"/>
        </w:rPr>
        <w:t xml:space="preserve">Jira: </w:t>
      </w:r>
      <w:r>
        <w:rPr>
          <w:rFonts w:ascii="Calibri" w:hAnsi="Calibri"/>
          <w:color w:val="243447"/>
          <w:sz w:val="22"/>
        </w:rPr>
        <w:t>BASEIMIS-14</w:t>
      </w:r>
    </w:p>
    <w:p>
      <w:pPr>
        <w:spacing w:after="40"/>
      </w:pPr>
      <w:r>
        <w:rPr>
          <w:rFonts w:ascii="Calibri" w:hAnsi="Calibri"/>
          <w:b/>
          <w:color w:val="243447"/>
          <w:sz w:val="22"/>
        </w:rPr>
        <w:t xml:space="preserve">Status: </w:t>
      </w:r>
      <w:r>
        <w:rPr>
          <w:rFonts w:ascii="Calibri" w:hAnsi="Calibri"/>
          <w:color w:val="243447"/>
          <w:sz w:val="22"/>
        </w:rPr>
        <w:t>Ready for team review and implementation planning</w:t>
      </w:r>
    </w:p>
    <w:p>
      <w:pPr>
        <w:spacing w:after="40"/>
      </w:pPr>
      <w:r>
        <w:rPr>
          <w:rFonts w:ascii="Calibri" w:hAnsi="Calibri"/>
          <w:b/>
          <w:color w:val="243447"/>
          <w:sz w:val="22"/>
        </w:rPr>
        <w:t xml:space="preserve">Prepared: </w:t>
      </w:r>
      <w:r>
        <w:rPr>
          <w:rFonts w:ascii="Calibri" w:hAnsi="Calibri"/>
          <w:color w:val="243447"/>
          <w:sz w:val="22"/>
        </w:rPr>
        <w:t>19 June 2026</w:t>
      </w:r>
    </w:p>
    <w:p>
      <w:pPr>
        <w:spacing w:after="40"/>
      </w:pPr>
      <w:r>
        <w:rPr>
          <w:rFonts w:ascii="Calibri" w:hAnsi="Calibri"/>
          <w:b/>
          <w:color w:val="243447"/>
          <w:sz w:val="22"/>
        </w:rPr>
        <w:t xml:space="preserve">Audience: </w:t>
      </w:r>
      <w:r>
        <w:rPr>
          <w:rFonts w:ascii="Calibri" w:hAnsi="Calibri"/>
          <w:color w:val="243447"/>
          <w:sz w:val="22"/>
        </w:rPr>
        <w:t>Team leads, PM, engineering, QA, and supporting team members</w:t>
      </w:r>
    </w:p>
    <w:p>
      <w:pPr>
        <w:spacing w:after="40"/>
      </w:pPr>
      <w:r>
        <w:rPr>
          <w:rFonts w:ascii="Calibri" w:hAnsi="Calibri"/>
          <w:b/>
          <w:color w:val="243447"/>
          <w:sz w:val="22"/>
        </w:rPr>
        <w:t xml:space="preserve">System: </w:t>
      </w:r>
      <w:r>
        <w:rPr>
          <w:rFonts w:ascii="Calibri" w:hAnsi="Calibri"/>
          <w:color w:val="243447"/>
          <w:sz w:val="22"/>
        </w:rPr>
        <w:t>IMIS Revamp / lang_web_app</w:t>
      </w:r>
    </w:p>
    <w:p>
      <w:pPr>
        <w:pStyle w:val="IMISCallout"/>
        <w:shd w:fill="EAF2F8"/>
        <w:pBdr>
          <w:left w:val="single" w:sz="18" w:space="8" w:color="2E74B5"/>
        </w:pBdr>
      </w:pPr>
      <w:r>
        <w:rPr>
          <w:rFonts w:ascii="Calibri" w:hAnsi="Calibri"/>
          <w:b/>
          <w:color w:val="2E74B5"/>
          <w:sz w:val="22"/>
        </w:rPr>
        <w:t xml:space="preserve">RECOMMENDATION  </w:t>
      </w:r>
      <w:r>
        <w:rPr>
          <w:rFonts w:ascii="Calibri" w:hAnsi="Calibri"/>
          <w:color w:val="243447"/>
          <w:sz w:val="22"/>
        </w:rPr>
        <w:t>Adopt a hybrid action-state model: button-level loading and disabling by default, with full-screen blocking overlays only for long-running or sensitive operations. Do not show a loading screen after every ordinary button click.</w:t>
      </w:r>
    </w:p>
    <w:p>
      <w:pPr>
        <w:pStyle w:val="Heading1"/>
      </w:pPr>
      <w:r>
        <w:t>Executive summary</w:t>
      </w:r>
    </w:p>
    <w:p>
      <w:r>
        <w:rPr>
          <w:rFonts w:ascii="Calibri" w:hAnsi="Calibri"/>
          <w:color w:val="243447"/>
          <w:sz w:val="22"/>
        </w:rPr>
        <w:t>IMIS Revamp already contains a loading overlay and helper functions, but the behavior is partial, inconsistent, and not connected to most forms or asynchronous actions. Users can repeatedly activate Save, Update, Approve, Upload, and similar operations while the first request is still running. The proposed solution centralizes action locking, provides clear feedback, restores the interface reliably after errors, and adds server-side safeguards for critical operations.</w:t>
      </w:r>
    </w:p>
    <w:p>
      <w:r>
        <w:rPr>
          <w:rFonts w:ascii="Calibri" w:hAnsi="Calibri"/>
          <w:color w:val="243447"/>
          <w:sz w:val="22"/>
        </w:rPr>
        <w:t>The work is intentionally not a blanket loading screen on every button. Navigation, filters, modal controls, tabs, accordions, map tools, file previews, and cancellation controls require different behavior. A policy-driven shared implementation gives teams consistent defaults without breaking these interactions.</w:t>
      </w:r>
    </w:p>
    <w:p>
      <w:r>
        <w:br w:type="page"/>
      </w:r>
    </w:p>
    <w:p>
      <w:pPr>
        <w:pStyle w:val="Heading1"/>
      </w:pPr>
      <w:r>
        <w:t>1. Decision and success outcome</w:t>
      </w:r>
    </w:p>
    <w:p>
      <w:pPr>
        <w:pStyle w:val="Heading2"/>
      </w:pPr>
      <w:r>
        <w:t>1.1 Decision</w:t>
      </w:r>
    </w:p>
    <w:p>
      <w:pPr>
        <w:numPr>
          <w:ilvl w:val="0"/>
          <w:numId w:val="10"/>
        </w:numPr>
      </w:pPr>
      <w:r>
        <w:rPr>
          <w:rFonts w:ascii="Calibri" w:hAnsi="Calibri"/>
          <w:color w:val="243447"/>
          <w:sz w:val="22"/>
        </w:rPr>
        <w:t>Protect valid form submissions and state-changing asynchronous actions against repeated activation.</w:t>
      </w:r>
    </w:p>
    <w:p>
      <w:pPr>
        <w:numPr>
          <w:ilvl w:val="0"/>
          <w:numId w:val="10"/>
        </w:numPr>
      </w:pPr>
      <w:r>
        <w:rPr>
          <w:rFonts w:ascii="Calibri" w:hAnsi="Calibri"/>
          <w:color w:val="243447"/>
          <w:sz w:val="22"/>
        </w:rPr>
        <w:t>Use an inline spinner and disabled triggering button as the default interaction pattern.</w:t>
      </w:r>
    </w:p>
    <w:p>
      <w:pPr>
        <w:numPr>
          <w:ilvl w:val="0"/>
          <w:numId w:val="10"/>
        </w:numPr>
      </w:pPr>
      <w:r>
        <w:rPr>
          <w:rFonts w:ascii="Calibri" w:hAnsi="Calibri"/>
          <w:color w:val="243447"/>
          <w:sz w:val="22"/>
        </w:rPr>
        <w:t>Use a full-screen overlay only when continued interaction could corrupt the workflow or when the operation is materially long-running.</w:t>
      </w:r>
    </w:p>
    <w:p>
      <w:pPr>
        <w:numPr>
          <w:ilvl w:val="0"/>
          <w:numId w:val="10"/>
        </w:numPr>
      </w:pPr>
      <w:r>
        <w:rPr>
          <w:rFonts w:ascii="Calibri" w:hAnsi="Calibri"/>
          <w:color w:val="243447"/>
          <w:sz w:val="22"/>
        </w:rPr>
        <w:t>Require backend duplicate protection for critical business operations; frontend locking alone is not a data-integrity guarantee.</w:t>
      </w:r>
    </w:p>
    <w:p>
      <w:pPr>
        <w:pStyle w:val="Heading2"/>
      </w:pPr>
      <w:r>
        <w:t>1.2 Success outcome</w:t>
      </w:r>
    </w:p>
    <w:p>
      <w:r>
        <w:rPr>
          <w:rFonts w:ascii="Calibri" w:hAnsi="Calibri"/>
          <w:color w:val="243447"/>
          <w:sz w:val="22"/>
        </w:rPr>
        <w:t>After implementation, users receive immediate, consistent feedback and cannot accidentally send the same protected request repeatedly. Failed operations recover cleanly, keyboard and assistive-technology users receive meaningful busy-state information, and QA can verify behavior through a defined cross-module test matrix.</w:t>
      </w:r>
    </w:p>
    <w:p>
      <w:pPr>
        <w:pStyle w:val="Heading2"/>
      </w:pPr>
      <w:r>
        <w:t>1.3 Out of scope</w:t>
      </w:r>
    </w:p>
    <w:p>
      <w:pPr>
        <w:numPr>
          <w:ilvl w:val="0"/>
          <w:numId w:val="10"/>
        </w:numPr>
      </w:pPr>
      <w:r>
        <w:rPr>
          <w:rFonts w:ascii="Calibri" w:hAnsi="Calibri"/>
          <w:color w:val="243447"/>
          <w:sz w:val="22"/>
        </w:rPr>
        <w:t>A full visual redesign of IMIS Revamp.</w:t>
      </w:r>
    </w:p>
    <w:p>
      <w:pPr>
        <w:numPr>
          <w:ilvl w:val="0"/>
          <w:numId w:val="10"/>
        </w:numPr>
      </w:pPr>
      <w:r>
        <w:rPr>
          <w:rFonts w:ascii="Calibri" w:hAnsi="Calibri"/>
          <w:color w:val="243447"/>
          <w:sz w:val="22"/>
        </w:rPr>
        <w:t>Blocking every link, button, tab, or map control regardless of purpose.</w:t>
      </w:r>
    </w:p>
    <w:p>
      <w:pPr>
        <w:numPr>
          <w:ilvl w:val="0"/>
          <w:numId w:val="10"/>
        </w:numPr>
      </w:pPr>
      <w:r>
        <w:rPr>
          <w:rFonts w:ascii="Calibri" w:hAnsi="Calibri"/>
          <w:color w:val="243447"/>
          <w:sz w:val="22"/>
        </w:rPr>
        <w:t>Replacing every legacy AJAX implementation in one release unless required for safe locking.</w:t>
      </w:r>
    </w:p>
    <w:p>
      <w:pPr>
        <w:numPr>
          <w:ilvl w:val="0"/>
          <w:numId w:val="10"/>
        </w:numPr>
      </w:pPr>
      <w:r>
        <w:rPr>
          <w:rFonts w:ascii="Calibri" w:hAnsi="Calibri"/>
          <w:color w:val="243447"/>
          <w:sz w:val="22"/>
        </w:rPr>
        <w:t>Changing business rules unrelated to duplicate submission or action-state integrity.</w:t>
      </w:r>
    </w:p>
    <w:p>
      <w:pPr>
        <w:pStyle w:val="Heading1"/>
      </w:pPr>
      <w:r>
        <w:t>2. Current-state findings</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rPr>
          <w:tblHeader w:val="true"/>
          <w:cantSplit/>
        </w:trPr>
        <w:tc>
          <w:tcPr>
            <w:tcW w:type="dxa" w:w="1900"/>
            <w:shd w:fill="F2F4F7"/>
            <w:vAlign w:val="center"/>
            <w:tcMar>
              <w:top w:w="80" w:type="dxa"/>
              <w:start w:w="120" w:type="dxa"/>
              <w:bottom w:w="80" w:type="dxa"/>
              <w:end w:w="120" w:type="dxa"/>
            </w:tcMar>
          </w:tcPr>
          <w:p>
            <w:pPr>
              <w:spacing w:after="0"/>
            </w:pPr>
            <w:r>
              <w:rPr>
                <w:rFonts w:ascii="Calibri" w:hAnsi="Calibri"/>
                <w:b/>
                <w:color w:val="243447"/>
                <w:sz w:val="20"/>
              </w:rPr>
              <w:t>Area</w:t>
            </w:r>
          </w:p>
        </w:tc>
        <w:tc>
          <w:tcPr>
            <w:tcW w:type="dxa" w:w="3500"/>
            <w:shd w:fill="F2F4F7"/>
            <w:vAlign w:val="center"/>
            <w:tcMar>
              <w:top w:w="80" w:type="dxa"/>
              <w:start w:w="120" w:type="dxa"/>
              <w:bottom w:w="80" w:type="dxa"/>
              <w:end w:w="120" w:type="dxa"/>
            </w:tcMar>
          </w:tcPr>
          <w:p>
            <w:pPr>
              <w:spacing w:after="0"/>
            </w:pPr>
            <w:r>
              <w:rPr>
                <w:rFonts w:ascii="Calibri" w:hAnsi="Calibri"/>
                <w:b/>
                <w:color w:val="243447"/>
                <w:sz w:val="20"/>
              </w:rPr>
              <w:t>Observed state</w:t>
            </w:r>
          </w:p>
        </w:tc>
        <w:tc>
          <w:tcPr>
            <w:tcW w:type="dxa" w:w="3960"/>
            <w:shd w:fill="F2F4F7"/>
            <w:vAlign w:val="center"/>
            <w:tcMar>
              <w:top w:w="80" w:type="dxa"/>
              <w:start w:w="120" w:type="dxa"/>
              <w:bottom w:w="80" w:type="dxa"/>
              <w:end w:w="120" w:type="dxa"/>
            </w:tcMar>
          </w:tcPr>
          <w:p>
            <w:pPr>
              <w:spacing w:after="0"/>
            </w:pPr>
            <w:r>
              <w:rPr>
                <w:rFonts w:ascii="Calibri" w:hAnsi="Calibri"/>
                <w:b/>
                <w:color w:val="243447"/>
                <w:sz w:val="20"/>
              </w:rPr>
              <w:t>Impact</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243447"/>
                <w:sz w:val="19"/>
              </w:rPr>
              <w:t>Shared overlay</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Present only in the dashboard layout.</w:t>
            </w:r>
          </w:p>
        </w:tc>
        <w:tc>
          <w:tcPr>
            <w:tcW w:type="dxa" w:w="3960"/>
            <w:vAlign w:val="center"/>
            <w:tcMar>
              <w:top w:w="80" w:type="dxa"/>
              <w:start w:w="120" w:type="dxa"/>
              <w:bottom w:w="80" w:type="dxa"/>
              <w:end w:w="120" w:type="dxa"/>
            </w:tcMar>
          </w:tcPr>
          <w:p>
            <w:pPr>
              <w:spacing w:after="0" w:line="259" w:lineRule="auto"/>
            </w:pPr>
            <w:r>
              <w:rPr>
                <w:rFonts w:ascii="Calibri" w:hAnsi="Calibri"/>
                <w:color w:val="243447"/>
                <w:sz w:val="19"/>
              </w:rPr>
              <w:t>Layers and maps do not have consistent coverage.</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243447"/>
                <w:sz w:val="19"/>
              </w:rPr>
              <w:t>Loader API</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Show and remove helpers use class toggling.</w:t>
            </w:r>
          </w:p>
        </w:tc>
        <w:tc>
          <w:tcPr>
            <w:tcW w:type="dxa" w:w="3960"/>
            <w:vAlign w:val="center"/>
            <w:tcMar>
              <w:top w:w="80" w:type="dxa"/>
              <w:start w:w="120" w:type="dxa"/>
              <w:bottom w:w="80" w:type="dxa"/>
              <w:end w:w="120" w:type="dxa"/>
            </w:tcMar>
          </w:tcPr>
          <w:p>
            <w:pPr>
              <w:spacing w:after="0" w:line="259" w:lineRule="auto"/>
            </w:pPr>
            <w:r>
              <w:rPr>
                <w:rFonts w:ascii="Calibri" w:hAnsi="Calibri"/>
                <w:color w:val="243447"/>
                <w:sz w:val="19"/>
              </w:rPr>
              <w:t>Repeated or out-of-order calls can invert the intended state.</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243447"/>
                <w:sz w:val="19"/>
              </w:rPr>
              <w:t>Submit prevention</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Helper exists, but has no active call sites.</w:t>
            </w:r>
          </w:p>
        </w:tc>
        <w:tc>
          <w:tcPr>
            <w:tcW w:type="dxa" w:w="3960"/>
            <w:vAlign w:val="center"/>
            <w:tcMar>
              <w:top w:w="80" w:type="dxa"/>
              <w:start w:w="120" w:type="dxa"/>
              <w:bottom w:w="80" w:type="dxa"/>
              <w:end w:w="120" w:type="dxa"/>
            </w:tcMar>
          </w:tcPr>
          <w:p>
            <w:pPr>
              <w:spacing w:after="0" w:line="259" w:lineRule="auto"/>
            </w:pPr>
            <w:r>
              <w:rPr>
                <w:rFonts w:ascii="Calibri" w:hAnsi="Calibri"/>
                <w:color w:val="243447"/>
                <w:sz w:val="19"/>
              </w:rPr>
              <w:t>Most forms remain vulnerable to repeated activation.</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243447"/>
                <w:sz w:val="19"/>
              </w:rPr>
              <w:t>AJAX cleanup</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Success/error cleanup varies by page.</w:t>
            </w:r>
          </w:p>
        </w:tc>
        <w:tc>
          <w:tcPr>
            <w:tcW w:type="dxa" w:w="3960"/>
            <w:vAlign w:val="center"/>
            <w:tcMar>
              <w:top w:w="80" w:type="dxa"/>
              <w:start w:w="120" w:type="dxa"/>
              <w:bottom w:w="80" w:type="dxa"/>
              <w:end w:w="120" w:type="dxa"/>
            </w:tcMar>
          </w:tcPr>
          <w:p>
            <w:pPr>
              <w:spacing w:after="0" w:line="259" w:lineRule="auto"/>
            </w:pPr>
            <w:r>
              <w:rPr>
                <w:rFonts w:ascii="Calibri" w:hAnsi="Calibri"/>
                <w:color w:val="243447"/>
                <w:sz w:val="19"/>
              </w:rPr>
              <w:t>A failed request can leave the interface blocked.</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243447"/>
                <w:sz w:val="19"/>
              </w:rPr>
              <w:t>Mutation methods</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At least one state-changing sewer action is initiated with GET.</w:t>
            </w:r>
          </w:p>
        </w:tc>
        <w:tc>
          <w:tcPr>
            <w:tcW w:type="dxa" w:w="3960"/>
            <w:vAlign w:val="center"/>
            <w:tcMar>
              <w:top w:w="80" w:type="dxa"/>
              <w:start w:w="120" w:type="dxa"/>
              <w:bottom w:w="80" w:type="dxa"/>
              <w:end w:w="120" w:type="dxa"/>
            </w:tcMar>
          </w:tcPr>
          <w:p>
            <w:pPr>
              <w:spacing w:after="0" w:line="259" w:lineRule="auto"/>
            </w:pPr>
            <w:r>
              <w:rPr>
                <w:rFonts w:ascii="Calibri" w:hAnsi="Calibri"/>
                <w:color w:val="243447"/>
                <w:sz w:val="19"/>
              </w:rPr>
              <w:t>Method semantics, CSRF protection, and safe retry behavior need review.</w:t>
            </w:r>
          </w:p>
        </w:tc>
      </w:tr>
    </w:tbl>
    <w:p>
      <w:pPr>
        <w:spacing w:after="0"/>
      </w:pPr>
    </w:p>
    <w:p>
      <w:r>
        <w:rPr>
          <w:rFonts w:ascii="Calibri" w:hAnsi="Calibri"/>
          <w:color w:val="243447"/>
          <w:sz w:val="22"/>
        </w:rPr>
        <w:t>Repository scan at study time identified approximately 150 form declarations, 203 button elements, 79 jQuery AJAX calls, and 8 Fetch API calls. These counts indicate that centralized behavior is materially safer and more maintainable than page-by-page patches.</w:t>
      </w:r>
    </w:p>
    <w:p>
      <w:r>
        <w:br w:type="page"/>
      </w:r>
    </w:p>
    <w:p>
      <w:pPr>
        <w:pStyle w:val="Heading1"/>
      </w:pPr>
      <w:r>
        <w:t>3. User experience policy</w:t>
      </w:r>
    </w:p>
    <w:tbl>
      <w:tblPr>
        <w:tblStyle w:val="TableGrid"/>
        <w:tblW w:type="dxa" w:w="9360"/>
        <w:jc w:val="left"/>
        <w:tblLayout w:type="fixed"/>
        <w:tblLook w:firstColumn="1" w:firstRow="1" w:lastColumn="0" w:lastRow="0" w:noHBand="0" w:noVBand="1" w:val="04A0"/>
        <w:tblInd w:w="120" w:type="dxa"/>
      </w:tblPr>
      <w:tblGrid>
        <w:gridCol w:w="1700"/>
        <w:gridCol w:w="2300"/>
        <w:gridCol w:w="1900"/>
        <w:gridCol w:w="3460"/>
      </w:tblGrid>
      <w:tr>
        <w:trPr>
          <w:tblHeader w:val="true"/>
          <w:cantSplit/>
        </w:trPr>
        <w:tc>
          <w:tcPr>
            <w:tcW w:type="dxa" w:w="1700"/>
            <w:shd w:fill="F2F4F7"/>
            <w:vAlign w:val="center"/>
            <w:tcMar>
              <w:top w:w="80" w:type="dxa"/>
              <w:start w:w="120" w:type="dxa"/>
              <w:bottom w:w="80" w:type="dxa"/>
              <w:end w:w="120" w:type="dxa"/>
            </w:tcMar>
          </w:tcPr>
          <w:p>
            <w:pPr>
              <w:spacing w:after="0"/>
            </w:pPr>
            <w:r>
              <w:rPr>
                <w:rFonts w:ascii="Calibri" w:hAnsi="Calibri"/>
                <w:b/>
                <w:color w:val="243447"/>
                <w:sz w:val="20"/>
              </w:rPr>
              <w:t>Interaction</w:t>
            </w:r>
          </w:p>
        </w:tc>
        <w:tc>
          <w:tcPr>
            <w:tcW w:type="dxa" w:w="2300"/>
            <w:shd w:fill="F2F4F7"/>
            <w:vAlign w:val="center"/>
            <w:tcMar>
              <w:top w:w="80" w:type="dxa"/>
              <w:start w:w="120" w:type="dxa"/>
              <w:bottom w:w="80" w:type="dxa"/>
              <w:end w:w="120" w:type="dxa"/>
            </w:tcMar>
          </w:tcPr>
          <w:p>
            <w:pPr>
              <w:spacing w:after="0"/>
            </w:pPr>
            <w:r>
              <w:rPr>
                <w:rFonts w:ascii="Calibri" w:hAnsi="Calibri"/>
                <w:b/>
                <w:color w:val="243447"/>
                <w:sz w:val="20"/>
              </w:rPr>
              <w:t>Default feedback</w:t>
            </w:r>
          </w:p>
        </w:tc>
        <w:tc>
          <w:tcPr>
            <w:tcW w:type="dxa" w:w="1900"/>
            <w:shd w:fill="F2F4F7"/>
            <w:vAlign w:val="center"/>
            <w:tcMar>
              <w:top w:w="80" w:type="dxa"/>
              <w:start w:w="120" w:type="dxa"/>
              <w:bottom w:w="80" w:type="dxa"/>
              <w:end w:w="120" w:type="dxa"/>
            </w:tcMar>
          </w:tcPr>
          <w:p>
            <w:pPr>
              <w:spacing w:after="0"/>
            </w:pPr>
            <w:r>
              <w:rPr>
                <w:rFonts w:ascii="Calibri" w:hAnsi="Calibri"/>
                <w:b/>
                <w:color w:val="243447"/>
                <w:sz w:val="20"/>
              </w:rPr>
              <w:t>Lock scope</w:t>
            </w:r>
          </w:p>
        </w:tc>
        <w:tc>
          <w:tcPr>
            <w:tcW w:type="dxa" w:w="3460"/>
            <w:shd w:fill="F2F4F7"/>
            <w:vAlign w:val="center"/>
            <w:tcMar>
              <w:top w:w="80" w:type="dxa"/>
              <w:start w:w="120" w:type="dxa"/>
              <w:bottom w:w="80" w:type="dxa"/>
              <w:end w:w="120" w:type="dxa"/>
            </w:tcMar>
          </w:tcPr>
          <w:p>
            <w:pPr>
              <w:spacing w:after="0"/>
            </w:pPr>
            <w:r>
              <w:rPr>
                <w:rFonts w:ascii="Calibri" w:hAnsi="Calibri"/>
                <w:b/>
                <w:color w:val="243447"/>
                <w:sz w:val="20"/>
              </w:rPr>
              <w:t>Notes</w:t>
            </w:r>
          </w:p>
        </w:tc>
      </w:tr>
      <w:tr>
        <w:trPr>
          <w:cantSplit/>
        </w:trPr>
        <w:tc>
          <w:tcPr>
            <w:tcW w:type="dxa" w:w="1700"/>
            <w:vAlign w:val="center"/>
            <w:tcMar>
              <w:top w:w="80" w:type="dxa"/>
              <w:start w:w="120" w:type="dxa"/>
              <w:bottom w:w="80" w:type="dxa"/>
              <w:end w:w="120" w:type="dxa"/>
            </w:tcMar>
          </w:tcPr>
          <w:p>
            <w:pPr>
              <w:spacing w:after="0" w:line="259" w:lineRule="auto"/>
            </w:pPr>
            <w:r>
              <w:rPr>
                <w:rFonts w:ascii="Calibri" w:hAnsi="Calibri"/>
                <w:color w:val="243447"/>
                <w:sz w:val="19"/>
              </w:rPr>
              <w:t>Save / Update / Upload</w:t>
            </w:r>
          </w:p>
        </w:tc>
        <w:tc>
          <w:tcPr>
            <w:tcW w:type="dxa" w:w="2300"/>
            <w:vAlign w:val="center"/>
            <w:tcMar>
              <w:top w:w="80" w:type="dxa"/>
              <w:start w:w="120" w:type="dxa"/>
              <w:bottom w:w="80" w:type="dxa"/>
              <w:end w:w="120" w:type="dxa"/>
            </w:tcMar>
          </w:tcPr>
          <w:p>
            <w:pPr>
              <w:spacing w:after="0" w:line="259" w:lineRule="auto"/>
            </w:pPr>
            <w:r>
              <w:rPr>
                <w:rFonts w:ascii="Calibri" w:hAnsi="Calibri"/>
                <w:color w:val="243447"/>
                <w:sz w:val="19"/>
              </w:rPr>
              <w:t>Spinner plus Processing text</w:t>
            </w:r>
          </w:p>
        </w:tc>
        <w:tc>
          <w:tcPr>
            <w:tcW w:type="dxa" w:w="1900"/>
            <w:vAlign w:val="center"/>
            <w:tcMar>
              <w:top w:w="80" w:type="dxa"/>
              <w:start w:w="120" w:type="dxa"/>
              <w:bottom w:w="80" w:type="dxa"/>
              <w:end w:w="120" w:type="dxa"/>
            </w:tcMar>
          </w:tcPr>
          <w:p>
            <w:pPr>
              <w:spacing w:after="0" w:line="259" w:lineRule="auto"/>
            </w:pPr>
            <w:r>
              <w:rPr>
                <w:rFonts w:ascii="Calibri" w:hAnsi="Calibri"/>
                <w:color w:val="243447"/>
                <w:sz w:val="19"/>
              </w:rPr>
              <w:t>Submitted form</w:t>
            </w:r>
          </w:p>
        </w:tc>
        <w:tc>
          <w:tcPr>
            <w:tcW w:type="dxa" w:w="3460"/>
            <w:vAlign w:val="center"/>
            <w:tcMar>
              <w:top w:w="80" w:type="dxa"/>
              <w:start w:w="120" w:type="dxa"/>
              <w:bottom w:w="80" w:type="dxa"/>
              <w:end w:w="120" w:type="dxa"/>
            </w:tcMar>
          </w:tcPr>
          <w:p>
            <w:pPr>
              <w:spacing w:after="0" w:line="259" w:lineRule="auto"/>
            </w:pPr>
            <w:r>
              <w:rPr>
                <w:rFonts w:ascii="Calibri" w:hAnsi="Calibri"/>
                <w:color w:val="243447"/>
                <w:sz w:val="19"/>
              </w:rPr>
              <w:t>Activate only after validation passes.</w:t>
            </w:r>
          </w:p>
        </w:tc>
      </w:tr>
      <w:tr>
        <w:trPr>
          <w:cantSplit/>
        </w:trPr>
        <w:tc>
          <w:tcPr>
            <w:tcW w:type="dxa" w:w="1700"/>
            <w:vAlign w:val="center"/>
            <w:tcMar>
              <w:top w:w="80" w:type="dxa"/>
              <w:start w:w="120" w:type="dxa"/>
              <w:bottom w:w="80" w:type="dxa"/>
              <w:end w:w="120" w:type="dxa"/>
            </w:tcMar>
          </w:tcPr>
          <w:p>
            <w:pPr>
              <w:spacing w:after="0" w:line="259" w:lineRule="auto"/>
            </w:pPr>
            <w:r>
              <w:rPr>
                <w:rFonts w:ascii="Calibri" w:hAnsi="Calibri"/>
                <w:color w:val="243447"/>
                <w:sz w:val="19"/>
              </w:rPr>
              <w:t>Approve / Assign / Complete</w:t>
            </w:r>
          </w:p>
        </w:tc>
        <w:tc>
          <w:tcPr>
            <w:tcW w:type="dxa" w:w="2300"/>
            <w:vAlign w:val="center"/>
            <w:tcMar>
              <w:top w:w="80" w:type="dxa"/>
              <w:start w:w="120" w:type="dxa"/>
              <w:bottom w:w="80" w:type="dxa"/>
              <w:end w:w="120" w:type="dxa"/>
            </w:tcMar>
          </w:tcPr>
          <w:p>
            <w:pPr>
              <w:spacing w:after="0" w:line="259" w:lineRule="auto"/>
            </w:pPr>
            <w:r>
              <w:rPr>
                <w:rFonts w:ascii="Calibri" w:hAnsi="Calibri"/>
                <w:color w:val="243447"/>
                <w:sz w:val="19"/>
              </w:rPr>
              <w:t>Spinner plus action-specific text</w:t>
            </w:r>
          </w:p>
        </w:tc>
        <w:tc>
          <w:tcPr>
            <w:tcW w:type="dxa" w:w="1900"/>
            <w:vAlign w:val="center"/>
            <w:tcMar>
              <w:top w:w="80" w:type="dxa"/>
              <w:start w:w="120" w:type="dxa"/>
              <w:bottom w:w="80" w:type="dxa"/>
              <w:end w:w="120" w:type="dxa"/>
            </w:tcMar>
          </w:tcPr>
          <w:p>
            <w:pPr>
              <w:spacing w:after="0" w:line="259" w:lineRule="auto"/>
            </w:pPr>
            <w:r>
              <w:rPr>
                <w:rFonts w:ascii="Calibri" w:hAnsi="Calibri"/>
                <w:color w:val="243447"/>
                <w:sz w:val="19"/>
              </w:rPr>
              <w:t>Triggering action or workflow</w:t>
            </w:r>
          </w:p>
        </w:tc>
        <w:tc>
          <w:tcPr>
            <w:tcW w:type="dxa" w:w="3460"/>
            <w:vAlign w:val="center"/>
            <w:tcMar>
              <w:top w:w="80" w:type="dxa"/>
              <w:start w:w="120" w:type="dxa"/>
              <w:bottom w:w="80" w:type="dxa"/>
              <w:end w:w="120" w:type="dxa"/>
            </w:tcMar>
          </w:tcPr>
          <w:p>
            <w:pPr>
              <w:spacing w:after="0" w:line="259" w:lineRule="auto"/>
            </w:pPr>
            <w:r>
              <w:rPr>
                <w:rFonts w:ascii="Calibri" w:hAnsi="Calibri"/>
                <w:color w:val="243447"/>
                <w:sz w:val="19"/>
              </w:rPr>
              <w:t>Lock after confirmation.</w:t>
            </w:r>
          </w:p>
        </w:tc>
      </w:tr>
      <w:tr>
        <w:trPr>
          <w:cantSplit/>
        </w:trPr>
        <w:tc>
          <w:tcPr>
            <w:tcW w:type="dxa" w:w="1700"/>
            <w:vAlign w:val="center"/>
            <w:tcMar>
              <w:top w:w="80" w:type="dxa"/>
              <w:start w:w="120" w:type="dxa"/>
              <w:bottom w:w="80" w:type="dxa"/>
              <w:end w:w="120" w:type="dxa"/>
            </w:tcMar>
          </w:tcPr>
          <w:p>
            <w:pPr>
              <w:spacing w:after="0" w:line="259" w:lineRule="auto"/>
            </w:pPr>
            <w:r>
              <w:rPr>
                <w:rFonts w:ascii="Calibri" w:hAnsi="Calibri"/>
                <w:color w:val="243447"/>
                <w:sz w:val="19"/>
              </w:rPr>
              <w:t>AJAX / Fetch mutation</w:t>
            </w:r>
          </w:p>
        </w:tc>
        <w:tc>
          <w:tcPr>
            <w:tcW w:type="dxa" w:w="2300"/>
            <w:vAlign w:val="center"/>
            <w:tcMar>
              <w:top w:w="80" w:type="dxa"/>
              <w:start w:w="120" w:type="dxa"/>
              <w:bottom w:w="80" w:type="dxa"/>
              <w:end w:w="120" w:type="dxa"/>
            </w:tcMar>
          </w:tcPr>
          <w:p>
            <w:pPr>
              <w:spacing w:after="0" w:line="259" w:lineRule="auto"/>
            </w:pPr>
            <w:r>
              <w:rPr>
                <w:rFonts w:ascii="Calibri" w:hAnsi="Calibri"/>
                <w:color w:val="243447"/>
                <w:sz w:val="19"/>
              </w:rPr>
              <w:t>Inline spinner</w:t>
            </w:r>
          </w:p>
        </w:tc>
        <w:tc>
          <w:tcPr>
            <w:tcW w:type="dxa" w:w="1900"/>
            <w:vAlign w:val="center"/>
            <w:tcMar>
              <w:top w:w="80" w:type="dxa"/>
              <w:start w:w="120" w:type="dxa"/>
              <w:bottom w:w="80" w:type="dxa"/>
              <w:end w:w="120" w:type="dxa"/>
            </w:tcMar>
          </w:tcPr>
          <w:p>
            <w:pPr>
              <w:spacing w:after="0" w:line="259" w:lineRule="auto"/>
            </w:pPr>
            <w:r>
              <w:rPr>
                <w:rFonts w:ascii="Calibri" w:hAnsi="Calibri"/>
                <w:color w:val="243447"/>
                <w:sz w:val="19"/>
              </w:rPr>
              <w:t>Triggering button</w:t>
            </w:r>
          </w:p>
        </w:tc>
        <w:tc>
          <w:tcPr>
            <w:tcW w:type="dxa" w:w="3460"/>
            <w:vAlign w:val="center"/>
            <w:tcMar>
              <w:top w:w="80" w:type="dxa"/>
              <w:start w:w="120" w:type="dxa"/>
              <w:bottom w:w="80" w:type="dxa"/>
              <w:end w:w="120" w:type="dxa"/>
            </w:tcMar>
          </w:tcPr>
          <w:p>
            <w:pPr>
              <w:spacing w:after="0" w:line="259" w:lineRule="auto"/>
            </w:pPr>
            <w:r>
              <w:rPr>
                <w:rFonts w:ascii="Calibri" w:hAnsi="Calibri"/>
                <w:color w:val="243447"/>
                <w:sz w:val="19"/>
              </w:rPr>
              <w:t>Restore in complete, always, or finally.</w:t>
            </w:r>
          </w:p>
        </w:tc>
      </w:tr>
      <w:tr>
        <w:trPr>
          <w:cantSplit/>
        </w:trPr>
        <w:tc>
          <w:tcPr>
            <w:tcW w:type="dxa" w:w="1700"/>
            <w:vAlign w:val="center"/>
            <w:tcMar>
              <w:top w:w="80" w:type="dxa"/>
              <w:start w:w="120" w:type="dxa"/>
              <w:bottom w:w="80" w:type="dxa"/>
              <w:end w:w="120" w:type="dxa"/>
            </w:tcMar>
          </w:tcPr>
          <w:p>
            <w:pPr>
              <w:spacing w:after="0" w:line="259" w:lineRule="auto"/>
            </w:pPr>
            <w:r>
              <w:rPr>
                <w:rFonts w:ascii="Calibri" w:hAnsi="Calibri"/>
                <w:color w:val="243447"/>
                <w:sz w:val="19"/>
              </w:rPr>
              <w:t>Long-running sensitive action</w:t>
            </w:r>
          </w:p>
        </w:tc>
        <w:tc>
          <w:tcPr>
            <w:tcW w:type="dxa" w:w="2300"/>
            <w:vAlign w:val="center"/>
            <w:tcMar>
              <w:top w:w="80" w:type="dxa"/>
              <w:start w:w="120" w:type="dxa"/>
              <w:bottom w:w="80" w:type="dxa"/>
              <w:end w:w="120" w:type="dxa"/>
            </w:tcMar>
          </w:tcPr>
          <w:p>
            <w:pPr>
              <w:spacing w:after="0" w:line="259" w:lineRule="auto"/>
            </w:pPr>
            <w:r>
              <w:rPr>
                <w:rFonts w:ascii="Calibri" w:hAnsi="Calibri"/>
                <w:color w:val="243447"/>
                <w:sz w:val="19"/>
              </w:rPr>
              <w:t>Full-screen overlay</w:t>
            </w:r>
          </w:p>
        </w:tc>
        <w:tc>
          <w:tcPr>
            <w:tcW w:type="dxa" w:w="1900"/>
            <w:vAlign w:val="center"/>
            <w:tcMar>
              <w:top w:w="80" w:type="dxa"/>
              <w:start w:w="120" w:type="dxa"/>
              <w:bottom w:w="80" w:type="dxa"/>
              <w:end w:w="120" w:type="dxa"/>
            </w:tcMar>
          </w:tcPr>
          <w:p>
            <w:pPr>
              <w:spacing w:after="0" w:line="259" w:lineRule="auto"/>
            </w:pPr>
            <w:r>
              <w:rPr>
                <w:rFonts w:ascii="Calibri" w:hAnsi="Calibri"/>
                <w:color w:val="243447"/>
                <w:sz w:val="19"/>
              </w:rPr>
              <w:t>Page</w:t>
            </w:r>
          </w:p>
        </w:tc>
        <w:tc>
          <w:tcPr>
            <w:tcW w:type="dxa" w:w="3460"/>
            <w:vAlign w:val="center"/>
            <w:tcMar>
              <w:top w:w="80" w:type="dxa"/>
              <w:start w:w="120" w:type="dxa"/>
              <w:bottom w:w="80" w:type="dxa"/>
              <w:end w:w="120" w:type="dxa"/>
            </w:tcMar>
          </w:tcPr>
          <w:p>
            <w:pPr>
              <w:spacing w:after="0" w:line="259" w:lineRule="auto"/>
            </w:pPr>
            <w:r>
              <w:rPr>
                <w:rFonts w:ascii="Calibri" w:hAnsi="Calibri"/>
                <w:color w:val="243447"/>
                <w:sz w:val="19"/>
              </w:rPr>
              <w:t>Use when further interaction is unsafe.</w:t>
            </w:r>
          </w:p>
        </w:tc>
      </w:tr>
      <w:tr>
        <w:trPr>
          <w:cantSplit/>
        </w:trPr>
        <w:tc>
          <w:tcPr>
            <w:tcW w:type="dxa" w:w="1700"/>
            <w:vAlign w:val="center"/>
            <w:tcMar>
              <w:top w:w="80" w:type="dxa"/>
              <w:start w:w="120" w:type="dxa"/>
              <w:bottom w:w="80" w:type="dxa"/>
              <w:end w:w="120" w:type="dxa"/>
            </w:tcMar>
          </w:tcPr>
          <w:p>
            <w:pPr>
              <w:spacing w:after="0" w:line="259" w:lineRule="auto"/>
            </w:pPr>
            <w:r>
              <w:rPr>
                <w:rFonts w:ascii="Calibri" w:hAnsi="Calibri"/>
                <w:color w:val="243447"/>
                <w:sz w:val="19"/>
              </w:rPr>
              <w:t>Filter / Export</w:t>
            </w:r>
          </w:p>
        </w:tc>
        <w:tc>
          <w:tcPr>
            <w:tcW w:type="dxa" w:w="2300"/>
            <w:vAlign w:val="center"/>
            <w:tcMar>
              <w:top w:w="80" w:type="dxa"/>
              <w:start w:w="120" w:type="dxa"/>
              <w:bottom w:w="80" w:type="dxa"/>
              <w:end w:w="120" w:type="dxa"/>
            </w:tcMar>
          </w:tcPr>
          <w:p>
            <w:pPr>
              <w:spacing w:after="0" w:line="259" w:lineRule="auto"/>
            </w:pPr>
            <w:r>
              <w:rPr>
                <w:rFonts w:ascii="Calibri" w:hAnsi="Calibri"/>
                <w:color w:val="243447"/>
                <w:sz w:val="19"/>
              </w:rPr>
              <w:t>Button spinner where useful</w:t>
            </w:r>
          </w:p>
        </w:tc>
        <w:tc>
          <w:tcPr>
            <w:tcW w:type="dxa" w:w="1900"/>
            <w:vAlign w:val="center"/>
            <w:tcMar>
              <w:top w:w="80" w:type="dxa"/>
              <w:start w:w="120" w:type="dxa"/>
              <w:bottom w:w="80" w:type="dxa"/>
              <w:end w:w="120" w:type="dxa"/>
            </w:tcMar>
          </w:tcPr>
          <w:p>
            <w:pPr>
              <w:spacing w:after="0" w:line="259" w:lineRule="auto"/>
            </w:pPr>
            <w:r>
              <w:rPr>
                <w:rFonts w:ascii="Calibri" w:hAnsi="Calibri"/>
                <w:color w:val="243447"/>
                <w:sz w:val="19"/>
              </w:rPr>
              <w:t>Triggering control</w:t>
            </w:r>
          </w:p>
        </w:tc>
        <w:tc>
          <w:tcPr>
            <w:tcW w:type="dxa" w:w="3460"/>
            <w:vAlign w:val="center"/>
            <w:tcMar>
              <w:top w:w="80" w:type="dxa"/>
              <w:start w:w="120" w:type="dxa"/>
              <w:bottom w:w="80" w:type="dxa"/>
              <w:end w:w="120" w:type="dxa"/>
            </w:tcMar>
          </w:tcPr>
          <w:p>
            <w:pPr>
              <w:spacing w:after="0" w:line="259" w:lineRule="auto"/>
            </w:pPr>
            <w:r>
              <w:rPr>
                <w:rFonts w:ascii="Calibri" w:hAnsi="Calibri"/>
                <w:color w:val="243447"/>
                <w:sz w:val="19"/>
              </w:rPr>
              <w:t>Avoid blocking unrelated page use.</w:t>
            </w:r>
          </w:p>
        </w:tc>
      </w:tr>
      <w:tr>
        <w:trPr>
          <w:cantSplit/>
        </w:trPr>
        <w:tc>
          <w:tcPr>
            <w:tcW w:type="dxa" w:w="1700"/>
            <w:vAlign w:val="center"/>
            <w:tcMar>
              <w:top w:w="80" w:type="dxa"/>
              <w:start w:w="120" w:type="dxa"/>
              <w:bottom w:w="80" w:type="dxa"/>
              <w:end w:w="120" w:type="dxa"/>
            </w:tcMar>
          </w:tcPr>
          <w:p>
            <w:pPr>
              <w:spacing w:after="0" w:line="259" w:lineRule="auto"/>
            </w:pPr>
            <w:r>
              <w:rPr>
                <w:rFonts w:ascii="Calibri" w:hAnsi="Calibri"/>
                <w:color w:val="243447"/>
                <w:sz w:val="19"/>
              </w:rPr>
              <w:t>Navigation / Back / modal controls</w:t>
            </w:r>
          </w:p>
        </w:tc>
        <w:tc>
          <w:tcPr>
            <w:tcW w:type="dxa" w:w="2300"/>
            <w:vAlign w:val="center"/>
            <w:tcMar>
              <w:top w:w="80" w:type="dxa"/>
              <w:start w:w="120" w:type="dxa"/>
              <w:bottom w:w="80" w:type="dxa"/>
              <w:end w:w="120" w:type="dxa"/>
            </w:tcMar>
          </w:tcPr>
          <w:p>
            <w:pPr>
              <w:spacing w:after="0" w:line="259" w:lineRule="auto"/>
            </w:pPr>
            <w:r>
              <w:rPr>
                <w:rFonts w:ascii="Calibri" w:hAnsi="Calibri"/>
                <w:color w:val="243447"/>
                <w:sz w:val="19"/>
              </w:rPr>
              <w:t>No loading lock</w:t>
            </w:r>
          </w:p>
        </w:tc>
        <w:tc>
          <w:tcPr>
            <w:tcW w:type="dxa" w:w="1900"/>
            <w:vAlign w:val="center"/>
            <w:tcMar>
              <w:top w:w="80" w:type="dxa"/>
              <w:start w:w="120" w:type="dxa"/>
              <w:bottom w:w="80" w:type="dxa"/>
              <w:end w:w="120" w:type="dxa"/>
            </w:tcMar>
          </w:tcPr>
          <w:p>
            <w:pPr>
              <w:spacing w:after="0" w:line="259" w:lineRule="auto"/>
            </w:pPr>
            <w:r>
              <w:rPr>
                <w:rFonts w:ascii="Calibri" w:hAnsi="Calibri"/>
                <w:color w:val="243447"/>
                <w:sz w:val="19"/>
              </w:rPr>
              <w:t>None</w:t>
            </w:r>
          </w:p>
        </w:tc>
        <w:tc>
          <w:tcPr>
            <w:tcW w:type="dxa" w:w="3460"/>
            <w:vAlign w:val="center"/>
            <w:tcMar>
              <w:top w:w="80" w:type="dxa"/>
              <w:start w:w="120" w:type="dxa"/>
              <w:bottom w:w="80" w:type="dxa"/>
              <w:end w:w="120" w:type="dxa"/>
            </w:tcMar>
          </w:tcPr>
          <w:p>
            <w:pPr>
              <w:spacing w:after="0" w:line="259" w:lineRule="auto"/>
            </w:pPr>
            <w:r>
              <w:rPr>
                <w:rFonts w:ascii="Calibri" w:hAnsi="Calibri"/>
                <w:color w:val="243447"/>
                <w:sz w:val="19"/>
              </w:rPr>
              <w:t>Preserve expected navigation and cancellation.</w:t>
            </w:r>
          </w:p>
        </w:tc>
      </w:tr>
      <w:tr>
        <w:trPr>
          <w:cantSplit/>
        </w:trPr>
        <w:tc>
          <w:tcPr>
            <w:tcW w:type="dxa" w:w="1700"/>
            <w:vAlign w:val="center"/>
            <w:tcMar>
              <w:top w:w="80" w:type="dxa"/>
              <w:start w:w="120" w:type="dxa"/>
              <w:bottom w:w="80" w:type="dxa"/>
              <w:end w:w="120" w:type="dxa"/>
            </w:tcMar>
          </w:tcPr>
          <w:p>
            <w:pPr>
              <w:spacing w:after="0" w:line="259" w:lineRule="auto"/>
            </w:pPr>
            <w:r>
              <w:rPr>
                <w:rFonts w:ascii="Calibri" w:hAnsi="Calibri"/>
                <w:color w:val="243447"/>
                <w:sz w:val="19"/>
              </w:rPr>
              <w:t>Map layer / drawing controls</w:t>
            </w:r>
          </w:p>
        </w:tc>
        <w:tc>
          <w:tcPr>
            <w:tcW w:type="dxa" w:w="2300"/>
            <w:vAlign w:val="center"/>
            <w:tcMar>
              <w:top w:w="80" w:type="dxa"/>
              <w:start w:w="120" w:type="dxa"/>
              <w:bottom w:w="80" w:type="dxa"/>
              <w:end w:w="120" w:type="dxa"/>
            </w:tcMar>
          </w:tcPr>
          <w:p>
            <w:pPr>
              <w:spacing w:after="0" w:line="259" w:lineRule="auto"/>
            </w:pPr>
            <w:r>
              <w:rPr>
                <w:rFonts w:ascii="Calibri" w:hAnsi="Calibri"/>
                <w:color w:val="243447"/>
                <w:sz w:val="19"/>
              </w:rPr>
              <w:t>Task-specific feedback</w:t>
            </w:r>
          </w:p>
        </w:tc>
        <w:tc>
          <w:tcPr>
            <w:tcW w:type="dxa" w:w="1900"/>
            <w:vAlign w:val="center"/>
            <w:tcMar>
              <w:top w:w="80" w:type="dxa"/>
              <w:start w:w="120" w:type="dxa"/>
              <w:bottom w:w="80" w:type="dxa"/>
              <w:end w:w="120" w:type="dxa"/>
            </w:tcMar>
          </w:tcPr>
          <w:p>
            <w:pPr>
              <w:spacing w:after="0" w:line="259" w:lineRule="auto"/>
            </w:pPr>
            <w:r>
              <w:rPr>
                <w:rFonts w:ascii="Calibri" w:hAnsi="Calibri"/>
                <w:color w:val="243447"/>
                <w:sz w:val="19"/>
              </w:rPr>
              <w:t>Local map tool</w:t>
            </w:r>
          </w:p>
        </w:tc>
        <w:tc>
          <w:tcPr>
            <w:tcW w:type="dxa" w:w="3460"/>
            <w:vAlign w:val="center"/>
            <w:tcMar>
              <w:top w:w="80" w:type="dxa"/>
              <w:start w:w="120" w:type="dxa"/>
              <w:bottom w:w="80" w:type="dxa"/>
              <w:end w:w="120" w:type="dxa"/>
            </w:tcMar>
          </w:tcPr>
          <w:p>
            <w:pPr>
              <w:spacing w:after="0" w:line="259" w:lineRule="auto"/>
            </w:pPr>
            <w:r>
              <w:rPr>
                <w:rFonts w:ascii="Calibri" w:hAnsi="Calibri"/>
                <w:color w:val="243447"/>
                <w:sz w:val="19"/>
              </w:rPr>
              <w:t>Never couple to all background map requests.</w:t>
            </w:r>
          </w:p>
        </w:tc>
      </w:tr>
    </w:tbl>
    <w:p>
      <w:pPr>
        <w:spacing w:after="0"/>
      </w:pPr>
    </w:p>
    <w:p>
      <w:pPr>
        <w:pStyle w:val="Heading2"/>
      </w:pPr>
      <w:r>
        <w:t>3.1 Accessibility and resilience</w:t>
      </w:r>
    </w:p>
    <w:p>
      <w:pPr>
        <w:numPr>
          <w:ilvl w:val="0"/>
          <w:numId w:val="10"/>
        </w:numPr>
      </w:pPr>
      <w:r>
        <w:rPr>
          <w:rFonts w:ascii="Calibri" w:hAnsi="Calibri"/>
          <w:color w:val="243447"/>
          <w:sz w:val="22"/>
        </w:rPr>
        <w:t>Set aria-busy on the active form or region and provide visible, meaningful status text.</w:t>
      </w:r>
    </w:p>
    <w:p>
      <w:pPr>
        <w:numPr>
          <w:ilvl w:val="0"/>
          <w:numId w:val="10"/>
        </w:numPr>
      </w:pPr>
      <w:r>
        <w:rPr>
          <w:rFonts w:ascii="Calibri" w:hAnsi="Calibri"/>
          <w:color w:val="243447"/>
          <w:sz w:val="22"/>
        </w:rPr>
        <w:t>Preserve focus predictably; do not move focus to a decorative spinner.</w:t>
      </w:r>
    </w:p>
    <w:p>
      <w:pPr>
        <w:numPr>
          <w:ilvl w:val="0"/>
          <w:numId w:val="10"/>
        </w:numPr>
      </w:pPr>
      <w:r>
        <w:rPr>
          <w:rFonts w:ascii="Calibri" w:hAnsi="Calibri"/>
          <w:color w:val="243447"/>
          <w:sz w:val="22"/>
        </w:rPr>
        <w:t>Avoid excessive layout shift when labels change.</w:t>
      </w:r>
    </w:p>
    <w:p>
      <w:pPr>
        <w:numPr>
          <w:ilvl w:val="0"/>
          <w:numId w:val="10"/>
        </w:numPr>
      </w:pPr>
      <w:r>
        <w:rPr>
          <w:rFonts w:ascii="Calibri" w:hAnsi="Calibri"/>
          <w:color w:val="243447"/>
          <w:sz w:val="22"/>
        </w:rPr>
        <w:t>Restore controls after asynchronous success, validation error, server error, timeout, or network failure.</w:t>
      </w:r>
    </w:p>
    <w:p>
      <w:pPr>
        <w:numPr>
          <w:ilvl w:val="0"/>
          <w:numId w:val="10"/>
        </w:numPr>
      </w:pPr>
      <w:r>
        <w:rPr>
          <w:rFonts w:ascii="Calibri" w:hAnsi="Calibri"/>
          <w:color w:val="243447"/>
          <w:sz w:val="22"/>
        </w:rPr>
        <w:t>Use pageshow handling so browser Back/Forward returns an unlocked page.</w:t>
      </w:r>
    </w:p>
    <w:p>
      <w:pPr>
        <w:numPr>
          <w:ilvl w:val="0"/>
          <w:numId w:val="10"/>
        </w:numPr>
      </w:pPr>
      <w:r>
        <w:rPr>
          <w:rFonts w:ascii="Calibri" w:hAnsi="Calibri"/>
          <w:color w:val="243447"/>
          <w:sz w:val="22"/>
        </w:rPr>
        <w:t>Honor native validation: invalid forms must remain editable and must not show a persistent busy state.</w:t>
      </w:r>
    </w:p>
    <w:p>
      <w:pPr>
        <w:pStyle w:val="Heading1"/>
      </w:pPr>
      <w:r>
        <w:t>4. Functional requirements</w:t>
      </w:r>
    </w:p>
    <w:p>
      <w:pPr>
        <w:numPr>
          <w:ilvl w:val="0"/>
          <w:numId w:val="10"/>
        </w:numPr>
      </w:pPr>
      <w:r>
        <w:rPr>
          <w:rFonts w:ascii="Calibri" w:hAnsi="Calibri"/>
          <w:color w:val="243447"/>
          <w:sz w:val="22"/>
        </w:rPr>
        <w:t>Provide shared action-state utilities with explicit show, hide, lock, and unlock behavior.</w:t>
      </w:r>
    </w:p>
    <w:p>
      <w:pPr>
        <w:numPr>
          <w:ilvl w:val="0"/>
          <w:numId w:val="10"/>
        </w:numPr>
      </w:pPr>
      <w:r>
        <w:rPr>
          <w:rFonts w:ascii="Calibri" w:hAnsi="Calibri"/>
          <w:color w:val="243447"/>
          <w:sz w:val="22"/>
        </w:rPr>
        <w:t>Make action locking idempotent: repeated lock or unlock calls must not invert state.</w:t>
      </w:r>
    </w:p>
    <w:p>
      <w:pPr>
        <w:numPr>
          <w:ilvl w:val="0"/>
          <w:numId w:val="10"/>
        </w:numPr>
      </w:pPr>
      <w:r>
        <w:rPr>
          <w:rFonts w:ascii="Calibri" w:hAnsi="Calibri"/>
          <w:color w:val="243447"/>
          <w:sz w:val="22"/>
        </w:rPr>
        <w:t>Preserve original labels, icons, disabled state, and relevant button attributes.</w:t>
      </w:r>
    </w:p>
    <w:p>
      <w:pPr>
        <w:numPr>
          <w:ilvl w:val="0"/>
          <w:numId w:val="10"/>
        </w:numPr>
      </w:pPr>
      <w:r>
        <w:rPr>
          <w:rFonts w:ascii="Calibri" w:hAnsi="Calibri"/>
          <w:color w:val="243447"/>
          <w:sz w:val="22"/>
        </w:rPr>
        <w:t>Support mouse activation, touch activation, and keyboard submission through Enter.</w:t>
      </w:r>
    </w:p>
    <w:p>
      <w:pPr>
        <w:numPr>
          <w:ilvl w:val="0"/>
          <w:numId w:val="10"/>
        </w:numPr>
      </w:pPr>
      <w:r>
        <w:rPr>
          <w:rFonts w:ascii="Calibri" w:hAnsi="Calibri"/>
          <w:color w:val="243447"/>
          <w:sz w:val="22"/>
        </w:rPr>
        <w:t>Allow declarative policy through data-loading=button|overlay|none and data-allow-multiple or equivalent documented attributes.</w:t>
      </w:r>
    </w:p>
    <w:p>
      <w:pPr>
        <w:numPr>
          <w:ilvl w:val="0"/>
          <w:numId w:val="10"/>
        </w:numPr>
      </w:pPr>
      <w:r>
        <w:rPr>
          <w:rFonts w:ascii="Calibri" w:hAnsi="Calibri"/>
          <w:color w:val="243447"/>
          <w:sz w:val="22"/>
        </w:rPr>
        <w:t>Default to protecting forms without requiring every page to add custom handlers.</w:t>
      </w:r>
    </w:p>
    <w:p>
      <w:pPr>
        <w:numPr>
          <w:ilvl w:val="0"/>
          <w:numId w:val="10"/>
        </w:numPr>
      </w:pPr>
      <w:r>
        <w:rPr>
          <w:rFonts w:ascii="Calibri" w:hAnsi="Calibri"/>
          <w:color w:val="243447"/>
          <w:sz w:val="22"/>
        </w:rPr>
        <w:t>Provide targeted helpers for AJAX and Fetch flows and guarantee cleanup through terminal request handlers.</w:t>
      </w:r>
    </w:p>
    <w:p>
      <w:pPr>
        <w:numPr>
          <w:ilvl w:val="0"/>
          <w:numId w:val="10"/>
        </w:numPr>
      </w:pPr>
      <w:r>
        <w:rPr>
          <w:rFonts w:ascii="Calibri" w:hAnsi="Calibri"/>
          <w:color w:val="243447"/>
          <w:sz w:val="22"/>
        </w:rPr>
        <w:t>Support concurrency safely. A page overlay must not disappear while another tracked operation is still active.</w:t>
      </w:r>
    </w:p>
    <w:p>
      <w:r>
        <w:br w:type="page"/>
      </w:r>
    </w:p>
    <w:p>
      <w:pPr>
        <w:pStyle w:val="Heading1"/>
      </w:pPr>
      <w:r>
        <w:t>5. Technical design</w:t>
      </w:r>
    </w:p>
    <w:p>
      <w:pPr>
        <w:pStyle w:val="Heading2"/>
      </w:pPr>
      <w:r>
        <w:t>5.1 Shared component and deterministic loader API</w:t>
      </w:r>
    </w:p>
    <w:p>
      <w:r>
        <w:rPr>
          <w:rFonts w:ascii="Calibri" w:hAnsi="Calibri"/>
          <w:color w:val="243447"/>
          <w:sz w:val="22"/>
        </w:rPr>
        <w:t>Move the visual overlay into a reusable Blade component and include it in authenticated layouts that require it. Replace classList.toggle() with explicit state changes. If multiple operations can own the overlay, maintain an operation counter or token set so the final owner controls release.</w:t>
      </w:r>
    </w:p>
    <w:p>
      <w:pPr>
        <w:pStyle w:val="Heading2"/>
      </w:pPr>
      <w:r>
        <w:t>5.2 Delegated form handler</w:t>
      </w:r>
    </w:p>
    <w:p>
      <w:r>
        <w:rPr>
          <w:rFonts w:ascii="Calibri" w:hAnsi="Calibri"/>
          <w:color w:val="243447"/>
          <w:sz w:val="22"/>
        </w:rPr>
        <w:t>Register one submit listener at the shared application level. When a valid form begins submission, identify the submitter, apply the selected loading policy, disable relevant submit controls, preserve their original presentation, and set the form busy state. The listener must not prevent the normal Laravel submission.</w:t>
      </w:r>
    </w:p>
    <w:p>
      <w:pPr>
        <w:pStyle w:val="IMISCallout"/>
        <w:shd w:fill="FFF8E8"/>
        <w:pBdr>
          <w:left w:val="single" w:sz="18" w:space="8" w:color="7A5A00"/>
        </w:pBdr>
      </w:pPr>
      <w:r>
        <w:rPr>
          <w:rFonts w:ascii="Calibri" w:hAnsi="Calibri"/>
          <w:b/>
          <w:color w:val="7A5A00"/>
          <w:sz w:val="22"/>
        </w:rPr>
        <w:t xml:space="preserve">VALIDATION RULE  </w:t>
      </w:r>
      <w:r>
        <w:rPr>
          <w:rFonts w:ascii="Calibri" w:hAnsi="Calibri"/>
          <w:color w:val="243447"/>
          <w:sz w:val="22"/>
        </w:rPr>
        <w:t>Do not lock on an invalid form. The browser and existing application validation must remain usable.</w:t>
      </w:r>
    </w:p>
    <w:p>
      <w:pPr>
        <w:pStyle w:val="Heading2"/>
      </w:pPr>
      <w:r>
        <w:t>5.3 AJAX and Fetch integration</w:t>
      </w:r>
    </w:p>
    <w:p>
      <w:r>
        <w:rPr>
          <w:rFonts w:ascii="Calibri" w:hAnsi="Calibri"/>
          <w:color w:val="243447"/>
          <w:sz w:val="22"/>
        </w:rPr>
        <w:t>Use a reusable wrapper or paired lock/unlock helper around state-changing requests. Lock the initiating control before dispatch and restore it in jQuery complete/always or Promise finally. Avoid a blanket ajaxStart/ajaxStop page blocker on the map surface because it has concurrent background requests and long-lived interactions.</w:t>
      </w:r>
    </w:p>
    <w:p>
      <w:pPr>
        <w:pStyle w:val="Heading2"/>
      </w:pPr>
      <w:r>
        <w:t>5.4 Backend integrity</w:t>
      </w:r>
    </w:p>
    <w:p>
      <w:r>
        <w:rPr>
          <w:rFonts w:ascii="Calibri" w:hAnsi="Calibri"/>
          <w:color w:val="243447"/>
          <w:sz w:val="22"/>
        </w:rPr>
        <w:t>Client-side disabling reduces accidental user repeats but cannot protect against retries, direct requests, two browser tabs, or bypassed JavaScript. Critical workflows must add the appropriate combination of database uniqueness, transactions, row/state validation, and idempotency keys.</w:t>
      </w:r>
    </w:p>
    <w:p>
      <w:pPr>
        <w:pStyle w:val="Heading2"/>
      </w:pPr>
      <w:r>
        <w:t>5.5 Endpoint semantics</w:t>
      </w:r>
    </w:p>
    <w:p>
      <w:r>
        <w:rPr>
          <w:rFonts w:ascii="Calibri" w:hAnsi="Calibri"/>
          <w:color w:val="243447"/>
          <w:sz w:val="22"/>
        </w:rPr>
        <w:t>Audit endpoints that mutate state through GET. Convert them to POST, PATCH, or DELETE as appropriate and enforce CSRF protection. This reduces unsafe retry behavior and aligns browser, proxy, and testing expectations with the actual operation.</w:t>
      </w:r>
    </w:p>
    <w:p>
      <w:pPr>
        <w:pStyle w:val="Heading1"/>
      </w:pPr>
      <w:r>
        <w:t>6. Primary implementation locations</w:t>
      </w:r>
    </w:p>
    <w:tbl>
      <w:tblPr>
        <w:tblStyle w:val="TableGrid"/>
        <w:tblW w:type="dxa" w:w="9360"/>
        <w:jc w:val="left"/>
        <w:tblLayout w:type="fixed"/>
        <w:tblLook w:firstColumn="1" w:firstRow="1" w:lastColumn="0" w:lastRow="0" w:noHBand="0" w:noVBand="1" w:val="04A0"/>
        <w:tblInd w:w="120" w:type="dxa"/>
      </w:tblPr>
      <w:tblGrid>
        <w:gridCol w:w="3800"/>
        <w:gridCol w:w="5560"/>
      </w:tblGrid>
      <w:tr>
        <w:trPr>
          <w:tblHeader w:val="true"/>
          <w:cantSplit/>
        </w:trPr>
        <w:tc>
          <w:tcPr>
            <w:tcW w:type="dxa" w:w="3800"/>
            <w:shd w:fill="F2F4F7"/>
            <w:vAlign w:val="center"/>
            <w:tcMar>
              <w:top w:w="80" w:type="dxa"/>
              <w:start w:w="120" w:type="dxa"/>
              <w:bottom w:w="80" w:type="dxa"/>
              <w:end w:w="120" w:type="dxa"/>
            </w:tcMar>
          </w:tcPr>
          <w:p>
            <w:pPr>
              <w:spacing w:after="0"/>
            </w:pPr>
            <w:r>
              <w:rPr>
                <w:rFonts w:ascii="Calibri" w:hAnsi="Calibri"/>
                <w:b/>
                <w:color w:val="243447"/>
                <w:sz w:val="20"/>
              </w:rPr>
              <w:t>Location</w:t>
            </w:r>
          </w:p>
        </w:tc>
        <w:tc>
          <w:tcPr>
            <w:tcW w:type="dxa" w:w="5560"/>
            <w:shd w:fill="F2F4F7"/>
            <w:vAlign w:val="center"/>
            <w:tcMar>
              <w:top w:w="80" w:type="dxa"/>
              <w:start w:w="120" w:type="dxa"/>
              <w:bottom w:w="80" w:type="dxa"/>
              <w:end w:w="120" w:type="dxa"/>
            </w:tcMar>
          </w:tcPr>
          <w:p>
            <w:pPr>
              <w:spacing w:after="0"/>
            </w:pPr>
            <w:r>
              <w:rPr>
                <w:rFonts w:ascii="Calibri" w:hAnsi="Calibri"/>
                <w:b/>
                <w:color w:val="243447"/>
                <w:sz w:val="20"/>
              </w:rPr>
              <w:t>Expected responsibility</w:t>
            </w:r>
          </w:p>
        </w:tc>
      </w:tr>
      <w:tr>
        <w:trPr>
          <w:cantSplit/>
        </w:trPr>
        <w:tc>
          <w:tcPr>
            <w:tcW w:type="dxa" w:w="3800"/>
            <w:vAlign w:val="center"/>
            <w:tcMar>
              <w:top w:w="80" w:type="dxa"/>
              <w:start w:w="120" w:type="dxa"/>
              <w:bottom w:w="80" w:type="dxa"/>
              <w:end w:w="120" w:type="dxa"/>
            </w:tcMar>
          </w:tcPr>
          <w:p>
            <w:pPr>
              <w:spacing w:after="0" w:line="259" w:lineRule="auto"/>
            </w:pPr>
            <w:r>
              <w:rPr>
                <w:rFonts w:ascii="Calibri" w:hAnsi="Calibri"/>
                <w:color w:val="243447"/>
                <w:sz w:val="19"/>
              </w:rPr>
              <w:t>resources/views/layouts/dashboard.blade.php</w:t>
            </w:r>
          </w:p>
        </w:tc>
        <w:tc>
          <w:tcPr>
            <w:tcW w:type="dxa" w:w="5560"/>
            <w:vAlign w:val="center"/>
            <w:tcMar>
              <w:top w:w="80" w:type="dxa"/>
              <w:start w:w="120" w:type="dxa"/>
              <w:bottom w:w="80" w:type="dxa"/>
              <w:end w:w="120" w:type="dxa"/>
            </w:tcMar>
          </w:tcPr>
          <w:p>
            <w:pPr>
              <w:spacing w:after="0" w:line="259" w:lineRule="auto"/>
            </w:pPr>
            <w:r>
              <w:rPr>
                <w:rFonts w:ascii="Calibri" w:hAnsi="Calibri"/>
                <w:color w:val="243447"/>
                <w:sz w:val="19"/>
              </w:rPr>
              <w:t>Consume the shared loader component and shared action-state behavior.</w:t>
            </w:r>
          </w:p>
        </w:tc>
      </w:tr>
      <w:tr>
        <w:trPr>
          <w:cantSplit/>
        </w:trPr>
        <w:tc>
          <w:tcPr>
            <w:tcW w:type="dxa" w:w="3800"/>
            <w:vAlign w:val="center"/>
            <w:tcMar>
              <w:top w:w="80" w:type="dxa"/>
              <w:start w:w="120" w:type="dxa"/>
              <w:bottom w:w="80" w:type="dxa"/>
              <w:end w:w="120" w:type="dxa"/>
            </w:tcMar>
          </w:tcPr>
          <w:p>
            <w:pPr>
              <w:spacing w:after="0" w:line="259" w:lineRule="auto"/>
            </w:pPr>
            <w:r>
              <w:rPr>
                <w:rFonts w:ascii="Calibri" w:hAnsi="Calibri"/>
                <w:color w:val="243447"/>
                <w:sz w:val="19"/>
              </w:rPr>
              <w:t>resources/views/layouts/layers.blade.php</w:t>
            </w:r>
          </w:p>
        </w:tc>
        <w:tc>
          <w:tcPr>
            <w:tcW w:type="dxa" w:w="5560"/>
            <w:vAlign w:val="center"/>
            <w:tcMar>
              <w:top w:w="80" w:type="dxa"/>
              <w:start w:w="120" w:type="dxa"/>
              <w:bottom w:w="80" w:type="dxa"/>
              <w:end w:w="120" w:type="dxa"/>
            </w:tcMar>
          </w:tcPr>
          <w:p>
            <w:pPr>
              <w:spacing w:after="0" w:line="259" w:lineRule="auto"/>
            </w:pPr>
            <w:r>
              <w:rPr>
                <w:rFonts w:ascii="Calibri" w:hAnsi="Calibri"/>
                <w:color w:val="243447"/>
                <w:sz w:val="19"/>
              </w:rPr>
              <w:t>Add compatible shared loader/action-state coverage.</w:t>
            </w:r>
          </w:p>
        </w:tc>
      </w:tr>
      <w:tr>
        <w:trPr>
          <w:cantSplit/>
        </w:trPr>
        <w:tc>
          <w:tcPr>
            <w:tcW w:type="dxa" w:w="3800"/>
            <w:vAlign w:val="center"/>
            <w:tcMar>
              <w:top w:w="80" w:type="dxa"/>
              <w:start w:w="120" w:type="dxa"/>
              <w:bottom w:w="80" w:type="dxa"/>
              <w:end w:w="120" w:type="dxa"/>
            </w:tcMar>
          </w:tcPr>
          <w:p>
            <w:pPr>
              <w:spacing w:after="0" w:line="259" w:lineRule="auto"/>
            </w:pPr>
            <w:r>
              <w:rPr>
                <w:rFonts w:ascii="Calibri" w:hAnsi="Calibri"/>
                <w:color w:val="243447"/>
                <w:sz w:val="19"/>
              </w:rPr>
              <w:t>resources/views/layouts/maps.blade.php</w:t>
            </w:r>
          </w:p>
        </w:tc>
        <w:tc>
          <w:tcPr>
            <w:tcW w:type="dxa" w:w="5560"/>
            <w:vAlign w:val="center"/>
            <w:tcMar>
              <w:top w:w="80" w:type="dxa"/>
              <w:start w:w="120" w:type="dxa"/>
              <w:bottom w:w="80" w:type="dxa"/>
              <w:end w:w="120" w:type="dxa"/>
            </w:tcMar>
          </w:tcPr>
          <w:p>
            <w:pPr>
              <w:spacing w:after="0" w:line="259" w:lineRule="auto"/>
            </w:pPr>
            <w:r>
              <w:rPr>
                <w:rFonts w:ascii="Calibri" w:hAnsi="Calibri"/>
                <w:color w:val="243447"/>
                <w:sz w:val="19"/>
              </w:rPr>
              <w:t>Use local action feedback and carefully scoped overlay support.</w:t>
            </w:r>
          </w:p>
        </w:tc>
      </w:tr>
      <w:tr>
        <w:trPr>
          <w:cantSplit/>
        </w:trPr>
        <w:tc>
          <w:tcPr>
            <w:tcW w:type="dxa" w:w="3800"/>
            <w:vAlign w:val="center"/>
            <w:tcMar>
              <w:top w:w="80" w:type="dxa"/>
              <w:start w:w="120" w:type="dxa"/>
              <w:bottom w:w="80" w:type="dxa"/>
              <w:end w:w="120" w:type="dxa"/>
            </w:tcMar>
          </w:tcPr>
          <w:p>
            <w:pPr>
              <w:spacing w:after="0" w:line="259" w:lineRule="auto"/>
            </w:pPr>
            <w:r>
              <w:rPr>
                <w:rFonts w:ascii="Calibri" w:hAnsi="Calibri"/>
                <w:color w:val="243447"/>
                <w:sz w:val="19"/>
              </w:rPr>
              <w:t>public/js/functions.js or resources/js module</w:t>
            </w:r>
          </w:p>
        </w:tc>
        <w:tc>
          <w:tcPr>
            <w:tcW w:type="dxa" w:w="5560"/>
            <w:vAlign w:val="center"/>
            <w:tcMar>
              <w:top w:w="80" w:type="dxa"/>
              <w:start w:w="120" w:type="dxa"/>
              <w:bottom w:w="80" w:type="dxa"/>
              <w:end w:w="120" w:type="dxa"/>
            </w:tcMar>
          </w:tcPr>
          <w:p>
            <w:pPr>
              <w:spacing w:after="0" w:line="259" w:lineRule="auto"/>
            </w:pPr>
            <w:r>
              <w:rPr>
                <w:rFonts w:ascii="Calibri" w:hAnsi="Calibri"/>
                <w:color w:val="243447"/>
                <w:sz w:val="19"/>
              </w:rPr>
              <w:t>Host deterministic loader and reusable lock/unlock APIs.</w:t>
            </w:r>
          </w:p>
        </w:tc>
      </w:tr>
      <w:tr>
        <w:trPr>
          <w:cantSplit/>
        </w:trPr>
        <w:tc>
          <w:tcPr>
            <w:tcW w:type="dxa" w:w="3800"/>
            <w:vAlign w:val="center"/>
            <w:tcMar>
              <w:top w:w="80" w:type="dxa"/>
              <w:start w:w="120" w:type="dxa"/>
              <w:bottom w:w="80" w:type="dxa"/>
              <w:end w:w="120" w:type="dxa"/>
            </w:tcMar>
          </w:tcPr>
          <w:p>
            <w:pPr>
              <w:spacing w:after="0" w:line="259" w:lineRule="auto"/>
            </w:pPr>
            <w:r>
              <w:rPr>
                <w:rFonts w:ascii="Calibri" w:hAnsi="Calibri"/>
                <w:color w:val="243447"/>
                <w:sz w:val="19"/>
              </w:rPr>
              <w:t>resources/views/layouts/partial-form.blade.php</w:t>
            </w:r>
          </w:p>
        </w:tc>
        <w:tc>
          <w:tcPr>
            <w:tcW w:type="dxa" w:w="5560"/>
            <w:vAlign w:val="center"/>
            <w:tcMar>
              <w:top w:w="80" w:type="dxa"/>
              <w:start w:w="120" w:type="dxa"/>
              <w:bottom w:w="80" w:type="dxa"/>
              <w:end w:w="120" w:type="dxa"/>
            </w:tcMar>
          </w:tcPr>
          <w:p>
            <w:pPr>
              <w:spacing w:after="0" w:line="259" w:lineRule="auto"/>
            </w:pPr>
            <w:r>
              <w:rPr>
                <w:rFonts w:ascii="Calibri" w:hAnsi="Calibri"/>
                <w:color w:val="243447"/>
                <w:sz w:val="19"/>
              </w:rPr>
              <w:t>Expose consistent submit-button metadata/default policy.</w:t>
            </w:r>
          </w:p>
        </w:tc>
      </w:tr>
      <w:tr>
        <w:trPr>
          <w:cantSplit/>
        </w:trPr>
        <w:tc>
          <w:tcPr>
            <w:tcW w:type="dxa" w:w="3800"/>
            <w:vAlign w:val="center"/>
            <w:tcMar>
              <w:top w:w="80" w:type="dxa"/>
              <w:start w:w="120" w:type="dxa"/>
              <w:bottom w:w="80" w:type="dxa"/>
              <w:end w:w="120" w:type="dxa"/>
            </w:tcMar>
          </w:tcPr>
          <w:p>
            <w:pPr>
              <w:spacing w:after="0" w:line="259" w:lineRule="auto"/>
            </w:pPr>
            <w:r>
              <w:rPr>
                <w:rFonts w:ascii="Calibri" w:hAnsi="Calibri"/>
                <w:color w:val="243447"/>
                <w:sz w:val="19"/>
              </w:rPr>
              <w:t>resources/views/fsm/applications/create.blade.php</w:t>
            </w:r>
          </w:p>
        </w:tc>
        <w:tc>
          <w:tcPr>
            <w:tcW w:type="dxa" w:w="5560"/>
            <w:vAlign w:val="center"/>
            <w:tcMar>
              <w:top w:w="80" w:type="dxa"/>
              <w:start w:w="120" w:type="dxa"/>
              <w:bottom w:w="80" w:type="dxa"/>
              <w:end w:w="120" w:type="dxa"/>
            </w:tcMar>
          </w:tcPr>
          <w:p>
            <w:pPr>
              <w:spacing w:after="0" w:line="259" w:lineRule="auto"/>
            </w:pPr>
            <w:r>
              <w:rPr>
                <w:rFonts w:ascii="Calibri" w:hAnsi="Calibri"/>
                <w:color w:val="243447"/>
                <w:sz w:val="19"/>
              </w:rPr>
              <w:t>Repair loader cleanup and validate application workflow behavior.</w:t>
            </w:r>
          </w:p>
        </w:tc>
      </w:tr>
      <w:tr>
        <w:trPr>
          <w:cantSplit/>
        </w:trPr>
        <w:tc>
          <w:tcPr>
            <w:tcW w:type="dxa" w:w="3800"/>
            <w:vAlign w:val="center"/>
            <w:tcMar>
              <w:top w:w="80" w:type="dxa"/>
              <w:start w:w="120" w:type="dxa"/>
              <w:bottom w:w="80" w:type="dxa"/>
              <w:end w:w="120" w:type="dxa"/>
            </w:tcMar>
          </w:tcPr>
          <w:p>
            <w:pPr>
              <w:spacing w:after="0" w:line="259" w:lineRule="auto"/>
            </w:pPr>
            <w:r>
              <w:rPr>
                <w:rFonts w:ascii="Calibri" w:hAnsi="Calibri"/>
                <w:color w:val="243447"/>
                <w:sz w:val="19"/>
              </w:rPr>
              <w:t>resources/views/sewer-connection/approve.blade.php</w:t>
            </w:r>
          </w:p>
        </w:tc>
        <w:tc>
          <w:tcPr>
            <w:tcW w:type="dxa" w:w="5560"/>
            <w:vAlign w:val="center"/>
            <w:tcMar>
              <w:top w:w="80" w:type="dxa"/>
              <w:start w:w="120" w:type="dxa"/>
              <w:bottom w:w="80" w:type="dxa"/>
              <w:end w:w="120" w:type="dxa"/>
            </w:tcMar>
          </w:tcPr>
          <w:p>
            <w:pPr>
              <w:spacing w:after="0" w:line="259" w:lineRule="auto"/>
            </w:pPr>
            <w:r>
              <w:rPr>
                <w:rFonts w:ascii="Calibri" w:hAnsi="Calibri"/>
                <w:color w:val="243447"/>
                <w:sz w:val="19"/>
              </w:rPr>
              <w:t>Protect the confirmation action and review mutation method.</w:t>
            </w:r>
          </w:p>
        </w:tc>
      </w:tr>
      <w:tr>
        <w:trPr>
          <w:cantSplit/>
        </w:trPr>
        <w:tc>
          <w:tcPr>
            <w:tcW w:type="dxa" w:w="3800"/>
            <w:vAlign w:val="center"/>
            <w:tcMar>
              <w:top w:w="80" w:type="dxa"/>
              <w:start w:w="120" w:type="dxa"/>
              <w:bottom w:w="80" w:type="dxa"/>
              <w:end w:w="120" w:type="dxa"/>
            </w:tcMar>
          </w:tcPr>
          <w:p>
            <w:pPr>
              <w:spacing w:after="0" w:line="259" w:lineRule="auto"/>
            </w:pPr>
            <w:r>
              <w:rPr>
                <w:rFonts w:ascii="Calibri" w:hAnsi="Calibri"/>
                <w:color w:val="243447"/>
                <w:sz w:val="19"/>
              </w:rPr>
              <w:t>public/css/style.css or compiled stylesheet</w:t>
            </w:r>
          </w:p>
        </w:tc>
        <w:tc>
          <w:tcPr>
            <w:tcW w:type="dxa" w:w="5560"/>
            <w:vAlign w:val="center"/>
            <w:tcMar>
              <w:top w:w="80" w:type="dxa"/>
              <w:start w:w="120" w:type="dxa"/>
              <w:bottom w:w="80" w:type="dxa"/>
              <w:end w:w="120" w:type="dxa"/>
            </w:tcMar>
          </w:tcPr>
          <w:p>
            <w:pPr>
              <w:spacing w:after="0" w:line="259" w:lineRule="auto"/>
            </w:pPr>
            <w:r>
              <w:rPr>
                <w:rFonts w:ascii="Calibri" w:hAnsi="Calibri"/>
                <w:color w:val="243447"/>
                <w:sz w:val="19"/>
              </w:rPr>
              <w:t>Style busy, disabled, overlay, and reduced-motion states.</w:t>
            </w:r>
          </w:p>
        </w:tc>
      </w:tr>
    </w:tbl>
    <w:p>
      <w:pPr>
        <w:spacing w:after="0"/>
      </w:pPr>
    </w:p>
    <w:p>
      <w:r>
        <w:br w:type="page"/>
      </w:r>
    </w:p>
    <w:p>
      <w:pPr>
        <w:pStyle w:val="Heading1"/>
      </w:pPr>
      <w:r>
        <w:t>7. Delivery plan and team responsibilities</w:t>
      </w:r>
    </w:p>
    <w:p>
      <w:pPr>
        <w:pStyle w:val="Heading2"/>
      </w:pPr>
      <w:r>
        <w:t>Phase 1 - Shared foundation</w:t>
      </w:r>
    </w:p>
    <w:p>
      <w:pPr>
        <w:numPr>
          <w:ilvl w:val="0"/>
          <w:numId w:val="10"/>
        </w:numPr>
      </w:pPr>
      <w:r>
        <w:rPr>
          <w:rFonts w:ascii="Calibri" w:hAnsi="Calibri"/>
          <w:color w:val="243447"/>
          <w:sz w:val="22"/>
        </w:rPr>
        <w:t>Engineering: shared component, deterministic API, form locking, pageshow recovery, accessibility states, and layout coverage.</w:t>
      </w:r>
    </w:p>
    <w:p>
      <w:pPr>
        <w:numPr>
          <w:ilvl w:val="0"/>
          <w:numId w:val="10"/>
        </w:numPr>
      </w:pPr>
      <w:r>
        <w:rPr>
          <w:rFonts w:ascii="Calibri" w:hAnsi="Calibri"/>
          <w:color w:val="243447"/>
          <w:sz w:val="22"/>
        </w:rPr>
        <w:t>Team lead: approve default/exception policy and review architectural placement.</w:t>
      </w:r>
    </w:p>
    <w:p>
      <w:pPr>
        <w:numPr>
          <w:ilvl w:val="0"/>
          <w:numId w:val="10"/>
        </w:numPr>
      </w:pPr>
      <w:r>
        <w:rPr>
          <w:rFonts w:ascii="Calibri" w:hAnsi="Calibri"/>
          <w:color w:val="243447"/>
          <w:sz w:val="22"/>
        </w:rPr>
        <w:t>QA: establish baseline cases on representative create, edit, validation, and error flows.</w:t>
      </w:r>
    </w:p>
    <w:p>
      <w:pPr>
        <w:pStyle w:val="Heading2"/>
      </w:pPr>
      <w:r>
        <w:t>Phase 2 - Asynchronous workflows</w:t>
      </w:r>
    </w:p>
    <w:p>
      <w:pPr>
        <w:numPr>
          <w:ilvl w:val="0"/>
          <w:numId w:val="10"/>
        </w:numPr>
      </w:pPr>
      <w:r>
        <w:rPr>
          <w:rFonts w:ascii="Calibri" w:hAnsi="Calibri"/>
          <w:color w:val="243447"/>
          <w:sz w:val="22"/>
        </w:rPr>
        <w:t>Engineering: integrate high-risk AJAX/Fetch actions and repair missing cleanup paths.</w:t>
      </w:r>
    </w:p>
    <w:p>
      <w:pPr>
        <w:numPr>
          <w:ilvl w:val="0"/>
          <w:numId w:val="10"/>
        </w:numPr>
      </w:pPr>
      <w:r>
        <w:rPr>
          <w:rFonts w:ascii="Calibri" w:hAnsi="Calibri"/>
          <w:color w:val="243447"/>
          <w:sz w:val="22"/>
        </w:rPr>
        <w:t>Feature owners: identify workflows where the page must remain usable during processing.</w:t>
      </w:r>
    </w:p>
    <w:p>
      <w:pPr>
        <w:numPr>
          <w:ilvl w:val="0"/>
          <w:numId w:val="10"/>
        </w:numPr>
      </w:pPr>
      <w:r>
        <w:rPr>
          <w:rFonts w:ascii="Calibri" w:hAnsi="Calibri"/>
          <w:color w:val="243447"/>
          <w:sz w:val="22"/>
        </w:rPr>
        <w:t>QA: exercise success, failure, timeout, repeated activation, and concurrency scenarios.</w:t>
      </w:r>
    </w:p>
    <w:p>
      <w:pPr>
        <w:pStyle w:val="Heading2"/>
      </w:pPr>
      <w:r>
        <w:t>Phase 3 - Server-side safeguards</w:t>
      </w:r>
    </w:p>
    <w:p>
      <w:pPr>
        <w:numPr>
          <w:ilvl w:val="0"/>
          <w:numId w:val="10"/>
        </w:numPr>
      </w:pPr>
      <w:r>
        <w:rPr>
          <w:rFonts w:ascii="Calibri" w:hAnsi="Calibri"/>
          <w:color w:val="243447"/>
          <w:sz w:val="22"/>
        </w:rPr>
        <w:t>Backend engineering: apply state guards, transaction boundaries, unique constraints, or idempotency where business impact warrants them.</w:t>
      </w:r>
    </w:p>
    <w:p>
      <w:pPr>
        <w:numPr>
          <w:ilvl w:val="0"/>
          <w:numId w:val="10"/>
        </w:numPr>
      </w:pPr>
      <w:r>
        <w:rPr>
          <w:rFonts w:ascii="Calibri" w:hAnsi="Calibri"/>
          <w:color w:val="243447"/>
          <w:sz w:val="22"/>
        </w:rPr>
        <w:t>Team lead and PM: classify critical operations and approve any endpoint contract changes.</w:t>
      </w:r>
    </w:p>
    <w:p>
      <w:pPr>
        <w:numPr>
          <w:ilvl w:val="0"/>
          <w:numId w:val="10"/>
        </w:numPr>
      </w:pPr>
      <w:r>
        <w:rPr>
          <w:rFonts w:ascii="Calibri" w:hAnsi="Calibri"/>
          <w:color w:val="243447"/>
          <w:sz w:val="22"/>
        </w:rPr>
        <w:t>QA: bypass JavaScript and verify duplicates or invalid transitions are still rejected.</w:t>
      </w:r>
    </w:p>
    <w:p>
      <w:pPr>
        <w:pStyle w:val="Heading2"/>
      </w:pPr>
      <w:r>
        <w:t>Phase 4 - Rollout</w:t>
      </w:r>
    </w:p>
    <w:p>
      <w:pPr>
        <w:numPr>
          <w:ilvl w:val="0"/>
          <w:numId w:val="10"/>
        </w:numPr>
      </w:pPr>
      <w:r>
        <w:rPr>
          <w:rFonts w:ascii="Calibri" w:hAnsi="Calibri"/>
          <w:color w:val="243447"/>
          <w:sz w:val="22"/>
        </w:rPr>
        <w:t>Release first to representative modules, then expand after regression evidence is clean.</w:t>
      </w:r>
    </w:p>
    <w:p>
      <w:pPr>
        <w:numPr>
          <w:ilvl w:val="0"/>
          <w:numId w:val="10"/>
        </w:numPr>
      </w:pPr>
      <w:r>
        <w:rPr>
          <w:rFonts w:ascii="Calibri" w:hAnsi="Calibri"/>
          <w:color w:val="243447"/>
          <w:sz w:val="22"/>
        </w:rPr>
        <w:t>Monitor duplicate records, request failures, support reports, and stuck-loading complaints.</w:t>
      </w:r>
    </w:p>
    <w:p>
      <w:pPr>
        <w:numPr>
          <w:ilvl w:val="0"/>
          <w:numId w:val="10"/>
        </w:numPr>
      </w:pPr>
      <w:r>
        <w:rPr>
          <w:rFonts w:ascii="Calibri" w:hAnsi="Calibri"/>
          <w:color w:val="243447"/>
          <w:sz w:val="22"/>
        </w:rPr>
        <w:t>Document usage and exceptions before marking the Jira task complete.</w:t>
      </w:r>
    </w:p>
    <w:p>
      <w:pPr>
        <w:pStyle w:val="Heading1"/>
      </w:pPr>
      <w:r>
        <w:t>8. QA test plan</w:t>
      </w:r>
    </w:p>
    <w:tbl>
      <w:tblPr>
        <w:tblStyle w:val="TableGrid"/>
        <w:tblW w:type="dxa" w:w="9360"/>
        <w:jc w:val="left"/>
        <w:tblLayout w:type="fixed"/>
        <w:tblLook w:firstColumn="1" w:firstRow="1" w:lastColumn="0" w:lastRow="0" w:noHBand="0" w:noVBand="1" w:val="04A0"/>
        <w:tblInd w:w="120" w:type="dxa"/>
      </w:tblPr>
      <w:tblGrid>
        <w:gridCol w:w="800"/>
        <w:gridCol w:w="3500"/>
        <w:gridCol w:w="5060"/>
      </w:tblGrid>
      <w:tr>
        <w:trPr>
          <w:tblHeader w:val="true"/>
          <w:cantSplit/>
        </w:trPr>
        <w:tc>
          <w:tcPr>
            <w:tcW w:type="dxa" w:w="800"/>
            <w:shd w:fill="F2F4F7"/>
            <w:vAlign w:val="center"/>
            <w:tcMar>
              <w:top w:w="80" w:type="dxa"/>
              <w:start w:w="120" w:type="dxa"/>
              <w:bottom w:w="80" w:type="dxa"/>
              <w:end w:w="120" w:type="dxa"/>
            </w:tcMar>
          </w:tcPr>
          <w:p>
            <w:pPr>
              <w:spacing w:after="0"/>
            </w:pPr>
            <w:r>
              <w:rPr>
                <w:rFonts w:ascii="Calibri" w:hAnsi="Calibri"/>
                <w:b/>
                <w:color w:val="243447"/>
                <w:sz w:val="20"/>
              </w:rPr>
              <w:t>ID</w:t>
            </w:r>
          </w:p>
        </w:tc>
        <w:tc>
          <w:tcPr>
            <w:tcW w:type="dxa" w:w="3500"/>
            <w:shd w:fill="F2F4F7"/>
            <w:vAlign w:val="center"/>
            <w:tcMar>
              <w:top w:w="80" w:type="dxa"/>
              <w:start w:w="120" w:type="dxa"/>
              <w:bottom w:w="80" w:type="dxa"/>
              <w:end w:w="120" w:type="dxa"/>
            </w:tcMar>
          </w:tcPr>
          <w:p>
            <w:pPr>
              <w:spacing w:after="0"/>
            </w:pPr>
            <w:r>
              <w:rPr>
                <w:rFonts w:ascii="Calibri" w:hAnsi="Calibri"/>
                <w:b/>
                <w:color w:val="243447"/>
                <w:sz w:val="20"/>
              </w:rPr>
              <w:t>Scenario</w:t>
            </w:r>
          </w:p>
        </w:tc>
        <w:tc>
          <w:tcPr>
            <w:tcW w:type="dxa" w:w="5060"/>
            <w:shd w:fill="F2F4F7"/>
            <w:vAlign w:val="center"/>
            <w:tcMar>
              <w:top w:w="80" w:type="dxa"/>
              <w:start w:w="120" w:type="dxa"/>
              <w:bottom w:w="80" w:type="dxa"/>
              <w:end w:w="120" w:type="dxa"/>
            </w:tcMar>
          </w:tcPr>
          <w:p>
            <w:pPr>
              <w:spacing w:after="0"/>
            </w:pPr>
            <w:r>
              <w:rPr>
                <w:rFonts w:ascii="Calibri" w:hAnsi="Calibri"/>
                <w:b/>
                <w:color w:val="243447"/>
                <w:sz w:val="20"/>
              </w:rPr>
              <w:t>Expected result</w:t>
            </w:r>
          </w:p>
        </w:tc>
      </w:tr>
      <w:tr>
        <w:trPr>
          <w:cantSplit/>
        </w:trPr>
        <w:tc>
          <w:tcPr>
            <w:tcW w:type="dxa" w:w="800"/>
            <w:vAlign w:val="center"/>
            <w:tcMar>
              <w:top w:w="80" w:type="dxa"/>
              <w:start w:w="120" w:type="dxa"/>
              <w:bottom w:w="80" w:type="dxa"/>
              <w:end w:w="120" w:type="dxa"/>
            </w:tcMar>
          </w:tcPr>
          <w:p>
            <w:pPr>
              <w:spacing w:after="0" w:line="259" w:lineRule="auto"/>
            </w:pPr>
            <w:r>
              <w:rPr>
                <w:rFonts w:ascii="Calibri" w:hAnsi="Calibri"/>
                <w:color w:val="243447"/>
                <w:sz w:val="19"/>
              </w:rPr>
              <w:t>Q1</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Double-click protected Save/Update</w:t>
            </w:r>
          </w:p>
        </w:tc>
        <w:tc>
          <w:tcPr>
            <w:tcW w:type="dxa" w:w="5060"/>
            <w:vAlign w:val="center"/>
            <w:tcMar>
              <w:top w:w="80" w:type="dxa"/>
              <w:start w:w="120" w:type="dxa"/>
              <w:bottom w:w="80" w:type="dxa"/>
              <w:end w:w="120" w:type="dxa"/>
            </w:tcMar>
          </w:tcPr>
          <w:p>
            <w:pPr>
              <w:spacing w:after="0" w:line="259" w:lineRule="auto"/>
            </w:pPr>
            <w:r>
              <w:rPr>
                <w:rFonts w:ascii="Calibri" w:hAnsi="Calibri"/>
                <w:color w:val="243447"/>
                <w:sz w:val="19"/>
              </w:rPr>
              <w:t>Only one request is sent; control stays busy.</w:t>
            </w:r>
          </w:p>
        </w:tc>
      </w:tr>
      <w:tr>
        <w:trPr>
          <w:cantSplit/>
        </w:trPr>
        <w:tc>
          <w:tcPr>
            <w:tcW w:type="dxa" w:w="800"/>
            <w:vAlign w:val="center"/>
            <w:tcMar>
              <w:top w:w="80" w:type="dxa"/>
              <w:start w:w="120" w:type="dxa"/>
              <w:bottom w:w="80" w:type="dxa"/>
              <w:end w:w="120" w:type="dxa"/>
            </w:tcMar>
          </w:tcPr>
          <w:p>
            <w:pPr>
              <w:spacing w:after="0" w:line="259" w:lineRule="auto"/>
            </w:pPr>
            <w:r>
              <w:rPr>
                <w:rFonts w:ascii="Calibri" w:hAnsi="Calibri"/>
                <w:color w:val="243447"/>
                <w:sz w:val="19"/>
              </w:rPr>
              <w:t>Q2</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Press Enter repeatedly on a valid form</w:t>
            </w:r>
          </w:p>
        </w:tc>
        <w:tc>
          <w:tcPr>
            <w:tcW w:type="dxa" w:w="5060"/>
            <w:vAlign w:val="center"/>
            <w:tcMar>
              <w:top w:w="80" w:type="dxa"/>
              <w:start w:w="120" w:type="dxa"/>
              <w:bottom w:w="80" w:type="dxa"/>
              <w:end w:w="120" w:type="dxa"/>
            </w:tcMar>
          </w:tcPr>
          <w:p>
            <w:pPr>
              <w:spacing w:after="0" w:line="259" w:lineRule="auto"/>
            </w:pPr>
            <w:r>
              <w:rPr>
                <w:rFonts w:ascii="Calibri" w:hAnsi="Calibri"/>
                <w:color w:val="243447"/>
                <w:sz w:val="19"/>
              </w:rPr>
              <w:t>One submission occurs.</w:t>
            </w:r>
          </w:p>
        </w:tc>
      </w:tr>
      <w:tr>
        <w:trPr>
          <w:cantSplit/>
        </w:trPr>
        <w:tc>
          <w:tcPr>
            <w:tcW w:type="dxa" w:w="800"/>
            <w:vAlign w:val="center"/>
            <w:tcMar>
              <w:top w:w="80" w:type="dxa"/>
              <w:start w:w="120" w:type="dxa"/>
              <w:bottom w:w="80" w:type="dxa"/>
              <w:end w:w="120" w:type="dxa"/>
            </w:tcMar>
          </w:tcPr>
          <w:p>
            <w:pPr>
              <w:spacing w:after="0" w:line="259" w:lineRule="auto"/>
            </w:pPr>
            <w:r>
              <w:rPr>
                <w:rFonts w:ascii="Calibri" w:hAnsi="Calibri"/>
                <w:color w:val="243447"/>
                <w:sz w:val="19"/>
              </w:rPr>
              <w:t>Q3</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Submit an invalid form</w:t>
            </w:r>
          </w:p>
        </w:tc>
        <w:tc>
          <w:tcPr>
            <w:tcW w:type="dxa" w:w="5060"/>
            <w:vAlign w:val="center"/>
            <w:tcMar>
              <w:top w:w="80" w:type="dxa"/>
              <w:start w:w="120" w:type="dxa"/>
              <w:bottom w:w="80" w:type="dxa"/>
              <w:end w:w="120" w:type="dxa"/>
            </w:tcMar>
          </w:tcPr>
          <w:p>
            <w:pPr>
              <w:spacing w:after="0" w:line="259" w:lineRule="auto"/>
            </w:pPr>
            <w:r>
              <w:rPr>
                <w:rFonts w:ascii="Calibri" w:hAnsi="Calibri"/>
                <w:color w:val="243447"/>
                <w:sz w:val="19"/>
              </w:rPr>
              <w:t>No persistent lock; validation remains visible.</w:t>
            </w:r>
          </w:p>
        </w:tc>
      </w:tr>
      <w:tr>
        <w:trPr>
          <w:cantSplit/>
        </w:trPr>
        <w:tc>
          <w:tcPr>
            <w:tcW w:type="dxa" w:w="800"/>
            <w:vAlign w:val="center"/>
            <w:tcMar>
              <w:top w:w="80" w:type="dxa"/>
              <w:start w:w="120" w:type="dxa"/>
              <w:bottom w:w="80" w:type="dxa"/>
              <w:end w:w="120" w:type="dxa"/>
            </w:tcMar>
          </w:tcPr>
          <w:p>
            <w:pPr>
              <w:spacing w:after="0" w:line="259" w:lineRule="auto"/>
            </w:pPr>
            <w:r>
              <w:rPr>
                <w:rFonts w:ascii="Calibri" w:hAnsi="Calibri"/>
                <w:color w:val="243447"/>
                <w:sz w:val="19"/>
              </w:rPr>
              <w:t>Q4</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AJAX success</w:t>
            </w:r>
          </w:p>
        </w:tc>
        <w:tc>
          <w:tcPr>
            <w:tcW w:type="dxa" w:w="5060"/>
            <w:vAlign w:val="center"/>
            <w:tcMar>
              <w:top w:w="80" w:type="dxa"/>
              <w:start w:w="120" w:type="dxa"/>
              <w:bottom w:w="80" w:type="dxa"/>
              <w:end w:w="120" w:type="dxa"/>
            </w:tcMar>
          </w:tcPr>
          <w:p>
            <w:pPr>
              <w:spacing w:after="0" w:line="259" w:lineRule="auto"/>
            </w:pPr>
            <w:r>
              <w:rPr>
                <w:rFonts w:ascii="Calibri" w:hAnsi="Calibri"/>
                <w:color w:val="243447"/>
                <w:sz w:val="19"/>
              </w:rPr>
              <w:t>Button restores after completion and original label/icon returns.</w:t>
            </w:r>
          </w:p>
        </w:tc>
      </w:tr>
      <w:tr>
        <w:trPr>
          <w:cantSplit/>
        </w:trPr>
        <w:tc>
          <w:tcPr>
            <w:tcW w:type="dxa" w:w="800"/>
            <w:vAlign w:val="center"/>
            <w:tcMar>
              <w:top w:w="80" w:type="dxa"/>
              <w:start w:w="120" w:type="dxa"/>
              <w:bottom w:w="80" w:type="dxa"/>
              <w:end w:w="120" w:type="dxa"/>
            </w:tcMar>
          </w:tcPr>
          <w:p>
            <w:pPr>
              <w:spacing w:after="0" w:line="259" w:lineRule="auto"/>
            </w:pPr>
            <w:r>
              <w:rPr>
                <w:rFonts w:ascii="Calibri" w:hAnsi="Calibri"/>
                <w:color w:val="243447"/>
                <w:sz w:val="19"/>
              </w:rPr>
              <w:t>Q5</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AJAX server or validation error</w:t>
            </w:r>
          </w:p>
        </w:tc>
        <w:tc>
          <w:tcPr>
            <w:tcW w:type="dxa" w:w="5060"/>
            <w:vAlign w:val="center"/>
            <w:tcMar>
              <w:top w:w="80" w:type="dxa"/>
              <w:start w:w="120" w:type="dxa"/>
              <w:bottom w:w="80" w:type="dxa"/>
              <w:end w:w="120" w:type="dxa"/>
            </w:tcMar>
          </w:tcPr>
          <w:p>
            <w:pPr>
              <w:spacing w:after="0" w:line="259" w:lineRule="auto"/>
            </w:pPr>
            <w:r>
              <w:rPr>
                <w:rFonts w:ascii="Calibri" w:hAnsi="Calibri"/>
                <w:color w:val="243447"/>
                <w:sz w:val="19"/>
              </w:rPr>
              <w:t>Button and page restore; error remains actionable.</w:t>
            </w:r>
          </w:p>
        </w:tc>
      </w:tr>
      <w:tr>
        <w:trPr>
          <w:cantSplit/>
        </w:trPr>
        <w:tc>
          <w:tcPr>
            <w:tcW w:type="dxa" w:w="800"/>
            <w:vAlign w:val="center"/>
            <w:tcMar>
              <w:top w:w="80" w:type="dxa"/>
              <w:start w:w="120" w:type="dxa"/>
              <w:bottom w:w="80" w:type="dxa"/>
              <w:end w:w="120" w:type="dxa"/>
            </w:tcMar>
          </w:tcPr>
          <w:p>
            <w:pPr>
              <w:spacing w:after="0" w:line="259" w:lineRule="auto"/>
            </w:pPr>
            <w:r>
              <w:rPr>
                <w:rFonts w:ascii="Calibri" w:hAnsi="Calibri"/>
                <w:color w:val="243447"/>
                <w:sz w:val="19"/>
              </w:rPr>
              <w:t>Q6</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Network failure or timeout</w:t>
            </w:r>
          </w:p>
        </w:tc>
        <w:tc>
          <w:tcPr>
            <w:tcW w:type="dxa" w:w="5060"/>
            <w:vAlign w:val="center"/>
            <w:tcMar>
              <w:top w:w="80" w:type="dxa"/>
              <w:start w:w="120" w:type="dxa"/>
              <w:bottom w:w="80" w:type="dxa"/>
              <w:end w:w="120" w:type="dxa"/>
            </w:tcMar>
          </w:tcPr>
          <w:p>
            <w:pPr>
              <w:spacing w:after="0" w:line="259" w:lineRule="auto"/>
            </w:pPr>
            <w:r>
              <w:rPr>
                <w:rFonts w:ascii="Calibri" w:hAnsi="Calibri"/>
                <w:color w:val="243447"/>
                <w:sz w:val="19"/>
              </w:rPr>
              <w:t>Busy state clears and retry is possible.</w:t>
            </w:r>
          </w:p>
        </w:tc>
      </w:tr>
      <w:tr>
        <w:trPr>
          <w:cantSplit/>
        </w:trPr>
        <w:tc>
          <w:tcPr>
            <w:tcW w:type="dxa" w:w="800"/>
            <w:vAlign w:val="center"/>
            <w:tcMar>
              <w:top w:w="80" w:type="dxa"/>
              <w:start w:w="120" w:type="dxa"/>
              <w:bottom w:w="80" w:type="dxa"/>
              <w:end w:w="120" w:type="dxa"/>
            </w:tcMar>
          </w:tcPr>
          <w:p>
            <w:pPr>
              <w:spacing w:after="0" w:line="259" w:lineRule="auto"/>
            </w:pPr>
            <w:r>
              <w:rPr>
                <w:rFonts w:ascii="Calibri" w:hAnsi="Calibri"/>
                <w:color w:val="243447"/>
                <w:sz w:val="19"/>
              </w:rPr>
              <w:t>Q7</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Cancel destructive confirmation</w:t>
            </w:r>
          </w:p>
        </w:tc>
        <w:tc>
          <w:tcPr>
            <w:tcW w:type="dxa" w:w="5060"/>
            <w:vAlign w:val="center"/>
            <w:tcMar>
              <w:top w:w="80" w:type="dxa"/>
              <w:start w:w="120" w:type="dxa"/>
              <w:bottom w:w="80" w:type="dxa"/>
              <w:end w:w="120" w:type="dxa"/>
            </w:tcMar>
          </w:tcPr>
          <w:p>
            <w:pPr>
              <w:spacing w:after="0" w:line="259" w:lineRule="auto"/>
            </w:pPr>
            <w:r>
              <w:rPr>
                <w:rFonts w:ascii="Calibri" w:hAnsi="Calibri"/>
                <w:color w:val="243447"/>
                <w:sz w:val="19"/>
              </w:rPr>
              <w:t>No lock and no request.</w:t>
            </w:r>
          </w:p>
        </w:tc>
      </w:tr>
      <w:tr>
        <w:trPr>
          <w:cantSplit/>
        </w:trPr>
        <w:tc>
          <w:tcPr>
            <w:tcW w:type="dxa" w:w="800"/>
            <w:vAlign w:val="center"/>
            <w:tcMar>
              <w:top w:w="80" w:type="dxa"/>
              <w:start w:w="120" w:type="dxa"/>
              <w:bottom w:w="80" w:type="dxa"/>
              <w:end w:w="120" w:type="dxa"/>
            </w:tcMar>
          </w:tcPr>
          <w:p>
            <w:pPr>
              <w:spacing w:after="0" w:line="259" w:lineRule="auto"/>
            </w:pPr>
            <w:r>
              <w:rPr>
                <w:rFonts w:ascii="Calibri" w:hAnsi="Calibri"/>
                <w:color w:val="243447"/>
                <w:sz w:val="19"/>
              </w:rPr>
              <w:t>Q8</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Confirm destructive action</w:t>
            </w:r>
          </w:p>
        </w:tc>
        <w:tc>
          <w:tcPr>
            <w:tcW w:type="dxa" w:w="5060"/>
            <w:vAlign w:val="center"/>
            <w:tcMar>
              <w:top w:w="80" w:type="dxa"/>
              <w:start w:w="120" w:type="dxa"/>
              <w:bottom w:w="80" w:type="dxa"/>
              <w:end w:w="120" w:type="dxa"/>
            </w:tcMar>
          </w:tcPr>
          <w:p>
            <w:pPr>
              <w:spacing w:after="0" w:line="259" w:lineRule="auto"/>
            </w:pPr>
            <w:r>
              <w:rPr>
                <w:rFonts w:ascii="Calibri" w:hAnsi="Calibri"/>
                <w:color w:val="243447"/>
                <w:sz w:val="19"/>
              </w:rPr>
              <w:t>Lock begins after confirmation and request occurs once.</w:t>
            </w:r>
          </w:p>
        </w:tc>
      </w:tr>
      <w:tr>
        <w:trPr>
          <w:cantSplit/>
        </w:trPr>
        <w:tc>
          <w:tcPr>
            <w:tcW w:type="dxa" w:w="800"/>
            <w:vAlign w:val="center"/>
            <w:tcMar>
              <w:top w:w="80" w:type="dxa"/>
              <w:start w:w="120" w:type="dxa"/>
              <w:bottom w:w="80" w:type="dxa"/>
              <w:end w:w="120" w:type="dxa"/>
            </w:tcMar>
          </w:tcPr>
          <w:p>
            <w:pPr>
              <w:spacing w:after="0" w:line="259" w:lineRule="auto"/>
            </w:pPr>
            <w:r>
              <w:rPr>
                <w:rFonts w:ascii="Calibri" w:hAnsi="Calibri"/>
                <w:color w:val="243447"/>
                <w:sz w:val="19"/>
              </w:rPr>
              <w:t>Q9</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Browser Back/Forward</w:t>
            </w:r>
          </w:p>
        </w:tc>
        <w:tc>
          <w:tcPr>
            <w:tcW w:type="dxa" w:w="5060"/>
            <w:vAlign w:val="center"/>
            <w:tcMar>
              <w:top w:w="80" w:type="dxa"/>
              <w:start w:w="120" w:type="dxa"/>
              <w:bottom w:w="80" w:type="dxa"/>
              <w:end w:w="120" w:type="dxa"/>
            </w:tcMar>
          </w:tcPr>
          <w:p>
            <w:pPr>
              <w:spacing w:after="0" w:line="259" w:lineRule="auto"/>
            </w:pPr>
            <w:r>
              <w:rPr>
                <w:rFonts w:ascii="Calibri" w:hAnsi="Calibri"/>
                <w:color w:val="243447"/>
                <w:sz w:val="19"/>
              </w:rPr>
              <w:t>Returned page is interactive.</w:t>
            </w:r>
          </w:p>
        </w:tc>
      </w:tr>
      <w:tr>
        <w:trPr>
          <w:cantSplit/>
        </w:trPr>
        <w:tc>
          <w:tcPr>
            <w:tcW w:type="dxa" w:w="800"/>
            <w:vAlign w:val="center"/>
            <w:tcMar>
              <w:top w:w="80" w:type="dxa"/>
              <w:start w:w="120" w:type="dxa"/>
              <w:bottom w:w="80" w:type="dxa"/>
              <w:end w:w="120" w:type="dxa"/>
            </w:tcMar>
          </w:tcPr>
          <w:p>
            <w:pPr>
              <w:spacing w:after="0" w:line="259" w:lineRule="auto"/>
            </w:pPr>
            <w:r>
              <w:rPr>
                <w:rFonts w:ascii="Calibri" w:hAnsi="Calibri"/>
                <w:color w:val="243447"/>
                <w:sz w:val="19"/>
              </w:rPr>
              <w:t>Q10</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Concurrent map/background requests</w:t>
            </w:r>
          </w:p>
        </w:tc>
        <w:tc>
          <w:tcPr>
            <w:tcW w:type="dxa" w:w="5060"/>
            <w:vAlign w:val="center"/>
            <w:tcMar>
              <w:top w:w="80" w:type="dxa"/>
              <w:start w:w="120" w:type="dxa"/>
              <w:bottom w:w="80" w:type="dxa"/>
              <w:end w:w="120" w:type="dxa"/>
            </w:tcMar>
          </w:tcPr>
          <w:p>
            <w:pPr>
              <w:spacing w:after="0" w:line="259" w:lineRule="auto"/>
            </w:pPr>
            <w:r>
              <w:rPr>
                <w:rFonts w:ascii="Calibri" w:hAnsi="Calibri"/>
                <w:color w:val="243447"/>
                <w:sz w:val="19"/>
              </w:rPr>
              <w:t>No premature overlay release or frozen map.</w:t>
            </w:r>
          </w:p>
        </w:tc>
      </w:tr>
      <w:tr>
        <w:trPr>
          <w:cantSplit/>
        </w:trPr>
        <w:tc>
          <w:tcPr>
            <w:tcW w:type="dxa" w:w="800"/>
            <w:vAlign w:val="center"/>
            <w:tcMar>
              <w:top w:w="80" w:type="dxa"/>
              <w:start w:w="120" w:type="dxa"/>
              <w:bottom w:w="80" w:type="dxa"/>
              <w:end w:w="120" w:type="dxa"/>
            </w:tcMar>
          </w:tcPr>
          <w:p>
            <w:pPr>
              <w:spacing w:after="0" w:line="259" w:lineRule="auto"/>
            </w:pPr>
            <w:r>
              <w:rPr>
                <w:rFonts w:ascii="Calibri" w:hAnsi="Calibri"/>
                <w:color w:val="243447"/>
                <w:sz w:val="19"/>
              </w:rPr>
              <w:t>Q11</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Keyboard and screen reader</w:t>
            </w:r>
          </w:p>
        </w:tc>
        <w:tc>
          <w:tcPr>
            <w:tcW w:type="dxa" w:w="5060"/>
            <w:vAlign w:val="center"/>
            <w:tcMar>
              <w:top w:w="80" w:type="dxa"/>
              <w:start w:w="120" w:type="dxa"/>
              <w:bottom w:w="80" w:type="dxa"/>
              <w:end w:w="120" w:type="dxa"/>
            </w:tcMar>
          </w:tcPr>
          <w:p>
            <w:pPr>
              <w:spacing w:after="0" w:line="259" w:lineRule="auto"/>
            </w:pPr>
            <w:r>
              <w:rPr>
                <w:rFonts w:ascii="Calibri" w:hAnsi="Calibri"/>
                <w:color w:val="243447"/>
                <w:sz w:val="19"/>
              </w:rPr>
              <w:t>Focus is stable and busy status is meaningful.</w:t>
            </w:r>
          </w:p>
        </w:tc>
      </w:tr>
      <w:tr>
        <w:trPr>
          <w:cantSplit/>
        </w:trPr>
        <w:tc>
          <w:tcPr>
            <w:tcW w:type="dxa" w:w="800"/>
            <w:vAlign w:val="center"/>
            <w:tcMar>
              <w:top w:w="80" w:type="dxa"/>
              <w:start w:w="120" w:type="dxa"/>
              <w:bottom w:w="80" w:type="dxa"/>
              <w:end w:w="120" w:type="dxa"/>
            </w:tcMar>
          </w:tcPr>
          <w:p>
            <w:pPr>
              <w:spacing w:after="0" w:line="259" w:lineRule="auto"/>
            </w:pPr>
            <w:r>
              <w:rPr>
                <w:rFonts w:ascii="Calibri" w:hAnsi="Calibri"/>
                <w:color w:val="243447"/>
                <w:sz w:val="19"/>
              </w:rPr>
              <w:t>Q12</w:t>
            </w:r>
          </w:p>
        </w:tc>
        <w:tc>
          <w:tcPr>
            <w:tcW w:type="dxa" w:w="3500"/>
            <w:vAlign w:val="center"/>
            <w:tcMar>
              <w:top w:w="80" w:type="dxa"/>
              <w:start w:w="120" w:type="dxa"/>
              <w:bottom w:w="80" w:type="dxa"/>
              <w:end w:w="120" w:type="dxa"/>
            </w:tcMar>
          </w:tcPr>
          <w:p>
            <w:pPr>
              <w:spacing w:after="0" w:line="259" w:lineRule="auto"/>
            </w:pPr>
            <w:r>
              <w:rPr>
                <w:rFonts w:ascii="Calibri" w:hAnsi="Calibri"/>
                <w:color w:val="243447"/>
                <w:sz w:val="19"/>
              </w:rPr>
              <w:t>Bypass JavaScript for critical action</w:t>
            </w:r>
          </w:p>
        </w:tc>
        <w:tc>
          <w:tcPr>
            <w:tcW w:type="dxa" w:w="5060"/>
            <w:vAlign w:val="center"/>
            <w:tcMar>
              <w:top w:w="80" w:type="dxa"/>
              <w:start w:w="120" w:type="dxa"/>
              <w:bottom w:w="80" w:type="dxa"/>
              <w:end w:w="120" w:type="dxa"/>
            </w:tcMar>
          </w:tcPr>
          <w:p>
            <w:pPr>
              <w:spacing w:after="0" w:line="259" w:lineRule="auto"/>
            </w:pPr>
            <w:r>
              <w:rPr>
                <w:rFonts w:ascii="Calibri" w:hAnsi="Calibri"/>
                <w:color w:val="243447"/>
                <w:sz w:val="19"/>
              </w:rPr>
              <w:t>Backend rejects duplicate/invalid transition.</w:t>
            </w:r>
          </w:p>
        </w:tc>
      </w:tr>
    </w:tbl>
    <w:p>
      <w:pPr>
        <w:spacing w:after="0"/>
      </w:pPr>
    </w:p>
    <w:p>
      <w:r>
        <w:br w:type="page"/>
      </w:r>
    </w:p>
    <w:p>
      <w:pPr>
        <w:pStyle w:val="Heading1"/>
      </w:pPr>
      <w:r>
        <w:t>9. Risks and controls</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F2F4F7"/>
            <w:vAlign w:val="center"/>
            <w:tcMar>
              <w:top w:w="80" w:type="dxa"/>
              <w:start w:w="120" w:type="dxa"/>
              <w:bottom w:w="80" w:type="dxa"/>
              <w:end w:w="120" w:type="dxa"/>
            </w:tcMar>
          </w:tcPr>
          <w:p>
            <w:pPr>
              <w:spacing w:after="0"/>
            </w:pPr>
            <w:r>
              <w:rPr>
                <w:rFonts w:ascii="Calibri" w:hAnsi="Calibri"/>
                <w:b/>
                <w:color w:val="243447"/>
                <w:sz w:val="20"/>
              </w:rPr>
              <w:t>Risk</w:t>
            </w:r>
          </w:p>
        </w:tc>
        <w:tc>
          <w:tcPr>
            <w:tcW w:type="dxa" w:w="5760"/>
            <w:shd w:fill="F2F4F7"/>
            <w:vAlign w:val="center"/>
            <w:tcMar>
              <w:top w:w="80" w:type="dxa"/>
              <w:start w:w="120" w:type="dxa"/>
              <w:bottom w:w="80" w:type="dxa"/>
              <w:end w:w="120" w:type="dxa"/>
            </w:tcMar>
          </w:tcPr>
          <w:p>
            <w:pPr>
              <w:spacing w:after="0"/>
            </w:pPr>
            <w:r>
              <w:rPr>
                <w:rFonts w:ascii="Calibri" w:hAnsi="Calibri"/>
                <w:b/>
                <w:color w:val="243447"/>
                <w:sz w:val="20"/>
              </w:rPr>
              <w:t>Control</w:t>
            </w:r>
          </w:p>
        </w:tc>
      </w:tr>
      <w:tr>
        <w:trPr>
          <w:cantSplit/>
        </w:trPr>
        <w:tc>
          <w:tcPr>
            <w:tcW w:type="dxa" w:w="3600"/>
            <w:vAlign w:val="center"/>
            <w:tcMar>
              <w:top w:w="80" w:type="dxa"/>
              <w:start w:w="120" w:type="dxa"/>
              <w:bottom w:w="80" w:type="dxa"/>
              <w:end w:w="120" w:type="dxa"/>
            </w:tcMar>
          </w:tcPr>
          <w:p>
            <w:pPr>
              <w:spacing w:after="0" w:line="259" w:lineRule="auto"/>
            </w:pPr>
            <w:r>
              <w:rPr>
                <w:rFonts w:ascii="Calibri" w:hAnsi="Calibri"/>
                <w:color w:val="243447"/>
                <w:sz w:val="19"/>
              </w:rPr>
              <w:t>Over-blocking the interface</w:t>
            </w:r>
          </w:p>
        </w:tc>
        <w:tc>
          <w:tcPr>
            <w:tcW w:type="dxa" w:w="5760"/>
            <w:vAlign w:val="center"/>
            <w:tcMar>
              <w:top w:w="80" w:type="dxa"/>
              <w:start w:w="120" w:type="dxa"/>
              <w:bottom w:w="80" w:type="dxa"/>
              <w:end w:w="120" w:type="dxa"/>
            </w:tcMar>
          </w:tcPr>
          <w:p>
            <w:pPr>
              <w:spacing w:after="0" w:line="259" w:lineRule="auto"/>
            </w:pPr>
            <w:r>
              <w:rPr>
                <w:rFonts w:ascii="Calibri" w:hAnsi="Calibri"/>
                <w:color w:val="243447"/>
                <w:sz w:val="19"/>
              </w:rPr>
              <w:t>Default to button scope; require explicit overlay policy.</w:t>
            </w:r>
          </w:p>
        </w:tc>
      </w:tr>
      <w:tr>
        <w:trPr>
          <w:cantSplit/>
        </w:trPr>
        <w:tc>
          <w:tcPr>
            <w:tcW w:type="dxa" w:w="3600"/>
            <w:vAlign w:val="center"/>
            <w:tcMar>
              <w:top w:w="80" w:type="dxa"/>
              <w:start w:w="120" w:type="dxa"/>
              <w:bottom w:w="80" w:type="dxa"/>
              <w:end w:w="120" w:type="dxa"/>
            </w:tcMar>
          </w:tcPr>
          <w:p>
            <w:pPr>
              <w:spacing w:after="0" w:line="259" w:lineRule="auto"/>
            </w:pPr>
            <w:r>
              <w:rPr>
                <w:rFonts w:ascii="Calibri" w:hAnsi="Calibri"/>
                <w:color w:val="243447"/>
                <w:sz w:val="19"/>
              </w:rPr>
              <w:t>Stuck busy state after errors</w:t>
            </w:r>
          </w:p>
        </w:tc>
        <w:tc>
          <w:tcPr>
            <w:tcW w:type="dxa" w:w="5760"/>
            <w:vAlign w:val="center"/>
            <w:tcMar>
              <w:top w:w="80" w:type="dxa"/>
              <w:start w:w="120" w:type="dxa"/>
              <w:bottom w:w="80" w:type="dxa"/>
              <w:end w:w="120" w:type="dxa"/>
            </w:tcMar>
          </w:tcPr>
          <w:p>
            <w:pPr>
              <w:spacing w:after="0" w:line="259" w:lineRule="auto"/>
            </w:pPr>
            <w:r>
              <w:rPr>
                <w:rFonts w:ascii="Calibri" w:hAnsi="Calibri"/>
                <w:color w:val="243447"/>
                <w:sz w:val="19"/>
              </w:rPr>
              <w:t>Mandatory terminal cleanup and failure-path tests.</w:t>
            </w:r>
          </w:p>
        </w:tc>
      </w:tr>
      <w:tr>
        <w:trPr>
          <w:cantSplit/>
        </w:trPr>
        <w:tc>
          <w:tcPr>
            <w:tcW w:type="dxa" w:w="3600"/>
            <w:vAlign w:val="center"/>
            <w:tcMar>
              <w:top w:w="80" w:type="dxa"/>
              <w:start w:w="120" w:type="dxa"/>
              <w:bottom w:w="80" w:type="dxa"/>
              <w:end w:w="120" w:type="dxa"/>
            </w:tcMar>
          </w:tcPr>
          <w:p>
            <w:pPr>
              <w:spacing w:after="0" w:line="259" w:lineRule="auto"/>
            </w:pPr>
            <w:r>
              <w:rPr>
                <w:rFonts w:ascii="Calibri" w:hAnsi="Calibri"/>
                <w:color w:val="243447"/>
                <w:sz w:val="19"/>
              </w:rPr>
              <w:t>Concurrent requests release too early</w:t>
            </w:r>
          </w:p>
        </w:tc>
        <w:tc>
          <w:tcPr>
            <w:tcW w:type="dxa" w:w="5760"/>
            <w:vAlign w:val="center"/>
            <w:tcMar>
              <w:top w:w="80" w:type="dxa"/>
              <w:start w:w="120" w:type="dxa"/>
              <w:bottom w:w="80" w:type="dxa"/>
              <w:end w:w="120" w:type="dxa"/>
            </w:tcMar>
          </w:tcPr>
          <w:p>
            <w:pPr>
              <w:spacing w:after="0" w:line="259" w:lineRule="auto"/>
            </w:pPr>
            <w:r>
              <w:rPr>
                <w:rFonts w:ascii="Calibri" w:hAnsi="Calibri"/>
                <w:color w:val="243447"/>
                <w:sz w:val="19"/>
              </w:rPr>
              <w:t>Reference count or ownership tokens for shared overlays.</w:t>
            </w:r>
          </w:p>
        </w:tc>
      </w:tr>
      <w:tr>
        <w:trPr>
          <w:cantSplit/>
        </w:trPr>
        <w:tc>
          <w:tcPr>
            <w:tcW w:type="dxa" w:w="3600"/>
            <w:vAlign w:val="center"/>
            <w:tcMar>
              <w:top w:w="80" w:type="dxa"/>
              <w:start w:w="120" w:type="dxa"/>
              <w:bottom w:w="80" w:type="dxa"/>
              <w:end w:w="120" w:type="dxa"/>
            </w:tcMar>
          </w:tcPr>
          <w:p>
            <w:pPr>
              <w:spacing w:after="0" w:line="259" w:lineRule="auto"/>
            </w:pPr>
            <w:r>
              <w:rPr>
                <w:rFonts w:ascii="Calibri" w:hAnsi="Calibri"/>
                <w:color w:val="243447"/>
                <w:sz w:val="19"/>
              </w:rPr>
              <w:t>Legacy page-specific handlers conflict</w:t>
            </w:r>
          </w:p>
        </w:tc>
        <w:tc>
          <w:tcPr>
            <w:tcW w:type="dxa" w:w="5760"/>
            <w:vAlign w:val="center"/>
            <w:tcMar>
              <w:top w:w="80" w:type="dxa"/>
              <w:start w:w="120" w:type="dxa"/>
              <w:bottom w:w="80" w:type="dxa"/>
              <w:end w:w="120" w:type="dxa"/>
            </w:tcMar>
          </w:tcPr>
          <w:p>
            <w:pPr>
              <w:spacing w:after="0" w:line="259" w:lineRule="auto"/>
            </w:pPr>
            <w:r>
              <w:rPr>
                <w:rFonts w:ascii="Calibri" w:hAnsi="Calibri"/>
                <w:color w:val="243447"/>
                <w:sz w:val="19"/>
              </w:rPr>
              <w:t>Inventory high-risk handlers and document opt-outs.</w:t>
            </w:r>
          </w:p>
        </w:tc>
      </w:tr>
      <w:tr>
        <w:trPr>
          <w:cantSplit/>
        </w:trPr>
        <w:tc>
          <w:tcPr>
            <w:tcW w:type="dxa" w:w="3600"/>
            <w:vAlign w:val="center"/>
            <w:tcMar>
              <w:top w:w="80" w:type="dxa"/>
              <w:start w:w="120" w:type="dxa"/>
              <w:bottom w:w="80" w:type="dxa"/>
              <w:end w:w="120" w:type="dxa"/>
            </w:tcMar>
          </w:tcPr>
          <w:p>
            <w:pPr>
              <w:spacing w:after="0" w:line="259" w:lineRule="auto"/>
            </w:pPr>
            <w:r>
              <w:rPr>
                <w:rFonts w:ascii="Calibri" w:hAnsi="Calibri"/>
                <w:color w:val="243447"/>
                <w:sz w:val="19"/>
              </w:rPr>
              <w:t>Frontend-only protection is bypassed</w:t>
            </w:r>
          </w:p>
        </w:tc>
        <w:tc>
          <w:tcPr>
            <w:tcW w:type="dxa" w:w="5760"/>
            <w:vAlign w:val="center"/>
            <w:tcMar>
              <w:top w:w="80" w:type="dxa"/>
              <w:start w:w="120" w:type="dxa"/>
              <w:bottom w:w="80" w:type="dxa"/>
              <w:end w:w="120" w:type="dxa"/>
            </w:tcMar>
          </w:tcPr>
          <w:p>
            <w:pPr>
              <w:spacing w:after="0" w:line="259" w:lineRule="auto"/>
            </w:pPr>
            <w:r>
              <w:rPr>
                <w:rFonts w:ascii="Calibri" w:hAnsi="Calibri"/>
                <w:color w:val="243447"/>
                <w:sz w:val="19"/>
              </w:rPr>
              <w:t>Server-side idempotency, state guards, and constraints.</w:t>
            </w:r>
          </w:p>
        </w:tc>
      </w:tr>
      <w:tr>
        <w:trPr>
          <w:cantSplit/>
        </w:trPr>
        <w:tc>
          <w:tcPr>
            <w:tcW w:type="dxa" w:w="3600"/>
            <w:vAlign w:val="center"/>
            <w:tcMar>
              <w:top w:w="80" w:type="dxa"/>
              <w:start w:w="120" w:type="dxa"/>
              <w:bottom w:w="80" w:type="dxa"/>
              <w:end w:w="120" w:type="dxa"/>
            </w:tcMar>
          </w:tcPr>
          <w:p>
            <w:pPr>
              <w:spacing w:after="0" w:line="259" w:lineRule="auto"/>
            </w:pPr>
            <w:r>
              <w:rPr>
                <w:rFonts w:ascii="Calibri" w:hAnsi="Calibri"/>
                <w:color w:val="243447"/>
                <w:sz w:val="19"/>
              </w:rPr>
              <w:t>Accessibility regression</w:t>
            </w:r>
          </w:p>
        </w:tc>
        <w:tc>
          <w:tcPr>
            <w:tcW w:type="dxa" w:w="5760"/>
            <w:vAlign w:val="center"/>
            <w:tcMar>
              <w:top w:w="80" w:type="dxa"/>
              <w:start w:w="120" w:type="dxa"/>
              <w:bottom w:w="80" w:type="dxa"/>
              <w:end w:w="120" w:type="dxa"/>
            </w:tcMar>
          </w:tcPr>
          <w:p>
            <w:pPr>
              <w:spacing w:after="0" w:line="259" w:lineRule="auto"/>
            </w:pPr>
            <w:r>
              <w:rPr>
                <w:rFonts w:ascii="Calibri" w:hAnsi="Calibri"/>
                <w:color w:val="243447"/>
                <w:sz w:val="19"/>
              </w:rPr>
              <w:t>aria-busy, visible status, keyboard tests, and reduced-motion review.</w:t>
            </w:r>
          </w:p>
        </w:tc>
      </w:tr>
    </w:tbl>
    <w:p>
      <w:pPr>
        <w:spacing w:after="0"/>
      </w:pPr>
    </w:p>
    <w:p>
      <w:pPr>
        <w:pStyle w:val="Heading1"/>
      </w:pPr>
      <w:r>
        <w:t>10. Definition of done</w:t>
      </w:r>
    </w:p>
    <w:p>
      <w:pPr>
        <w:numPr>
          <w:ilvl w:val="0"/>
          <w:numId w:val="10"/>
        </w:numPr>
      </w:pPr>
      <w:r>
        <w:rPr>
          <w:rFonts w:ascii="Calibri" w:hAnsi="Calibri"/>
          <w:color w:val="243447"/>
          <w:sz w:val="22"/>
        </w:rPr>
        <w:t>Shared action-state behavior is available across the required layouts.</w:t>
      </w:r>
    </w:p>
    <w:p>
      <w:pPr>
        <w:numPr>
          <w:ilvl w:val="0"/>
          <w:numId w:val="10"/>
        </w:numPr>
      </w:pPr>
      <w:r>
        <w:rPr>
          <w:rFonts w:ascii="Calibri" w:hAnsi="Calibri"/>
          <w:color w:val="243447"/>
          <w:sz w:val="22"/>
        </w:rPr>
        <w:t>Protected forms and high-risk asynchronous actions cannot be repeatedly activated during processing.</w:t>
      </w:r>
    </w:p>
    <w:p>
      <w:pPr>
        <w:numPr>
          <w:ilvl w:val="0"/>
          <w:numId w:val="10"/>
        </w:numPr>
      </w:pPr>
      <w:r>
        <w:rPr>
          <w:rFonts w:ascii="Calibri" w:hAnsi="Calibri"/>
          <w:color w:val="243447"/>
          <w:sz w:val="22"/>
        </w:rPr>
        <w:t>Invalid forms and every asynchronous failure path recover correctly.</w:t>
      </w:r>
    </w:p>
    <w:p>
      <w:pPr>
        <w:numPr>
          <w:ilvl w:val="0"/>
          <w:numId w:val="10"/>
        </w:numPr>
      </w:pPr>
      <w:r>
        <w:rPr>
          <w:rFonts w:ascii="Calibri" w:hAnsi="Calibri"/>
          <w:color w:val="243447"/>
          <w:sz w:val="22"/>
        </w:rPr>
        <w:t>Documented opt-outs preserve navigation, modal, filter, map, and preview behavior.</w:t>
      </w:r>
    </w:p>
    <w:p>
      <w:pPr>
        <w:numPr>
          <w:ilvl w:val="0"/>
          <w:numId w:val="10"/>
        </w:numPr>
      </w:pPr>
      <w:r>
        <w:rPr>
          <w:rFonts w:ascii="Calibri" w:hAnsi="Calibri"/>
          <w:color w:val="243447"/>
          <w:sz w:val="22"/>
        </w:rPr>
        <w:t>Critical backend operations have recorded duplicate/state-integrity safeguards.</w:t>
      </w:r>
    </w:p>
    <w:p>
      <w:pPr>
        <w:numPr>
          <w:ilvl w:val="0"/>
          <w:numId w:val="10"/>
        </w:numPr>
      </w:pPr>
      <w:r>
        <w:rPr>
          <w:rFonts w:ascii="Calibri" w:hAnsi="Calibri"/>
          <w:color w:val="243447"/>
          <w:sz w:val="22"/>
        </w:rPr>
        <w:t>State-changing GET actions in scope are corrected or explicitly tracked for follow-up.</w:t>
      </w:r>
    </w:p>
    <w:p>
      <w:pPr>
        <w:numPr>
          <w:ilvl w:val="0"/>
          <w:numId w:val="10"/>
        </w:numPr>
      </w:pPr>
      <w:r>
        <w:rPr>
          <w:rFonts w:ascii="Calibri" w:hAnsi="Calibri"/>
          <w:color w:val="243447"/>
          <w:sz w:val="22"/>
        </w:rPr>
        <w:t>The QA matrix passes on agreed browsers and representative roles/modules.</w:t>
      </w:r>
    </w:p>
    <w:p>
      <w:pPr>
        <w:numPr>
          <w:ilvl w:val="0"/>
          <w:numId w:val="10"/>
        </w:numPr>
      </w:pPr>
      <w:r>
        <w:rPr>
          <w:rFonts w:ascii="Calibri" w:hAnsi="Calibri"/>
          <w:color w:val="243447"/>
          <w:sz w:val="22"/>
        </w:rPr>
        <w:t>Developer usage guidance and exception rules are committed with the implementation.</w:t>
      </w:r>
    </w:p>
    <w:p>
      <w:pPr>
        <w:numPr>
          <w:ilvl w:val="0"/>
          <w:numId w:val="10"/>
        </w:numPr>
      </w:pPr>
      <w:r>
        <w:rPr>
          <w:rFonts w:ascii="Calibri" w:hAnsi="Calibri"/>
          <w:color w:val="243447"/>
          <w:sz w:val="22"/>
        </w:rPr>
        <w:t>PM, team lead, and QA sign-off is recorded in BASEIMIS-14.</w:t>
      </w:r>
    </w:p>
    <w:p>
      <w:pPr>
        <w:pStyle w:val="Heading1"/>
      </w:pPr>
      <w:r>
        <w:t>11. Jira reference</w:t>
      </w:r>
    </w:p>
    <w:p>
      <w:r>
        <w:rPr>
          <w:rFonts w:ascii="Calibri" w:hAnsi="Calibri"/>
          <w:color w:val="243447"/>
          <w:sz w:val="22"/>
        </w:rPr>
        <w:t>Issue: BASEIMIS-14 - Implement reusable loading states and duplicate-action prevention across IMIS Revamp</w:t>
      </w:r>
    </w:p>
    <w:p>
      <w:r>
        <w:rPr>
          <w:rFonts w:ascii="Calibri" w:hAnsi="Calibri"/>
          <w:color w:val="243447"/>
          <w:sz w:val="22"/>
        </w:rPr>
        <w:t>Link: https://jira.innovativesolution.com.np/browse/BASEIMIS-14</w:t>
      </w:r>
    </w:p>
    <w:p>
      <w:r>
        <w:br w:type="page"/>
      </w:r>
    </w:p>
    <w:p>
      <w:pPr>
        <w:pStyle w:val="Heading1"/>
      </w:pPr>
      <w:r>
        <w:t>12. Implementation analysis</w:t>
      </w:r>
    </w:p>
    <w:p>
      <w:pPr>
        <w:pStyle w:val="IMISCallout"/>
        <w:shd w:fill="EAF2F8"/>
        <w:pBdr>
          <w:left w:val="single" w:sz="18" w:space="8" w:color="2E74B5"/>
        </w:pBdr>
      </w:pPr>
      <w:r>
        <w:rPr>
          <w:rFonts w:ascii="Calibri" w:hAnsi="Calibri"/>
          <w:b/>
          <w:color w:val="2E74B5"/>
          <w:sz w:val="22"/>
        </w:rPr>
        <w:t xml:space="preserve">PLANNING CONCLUSION  </w:t>
      </w:r>
      <w:r>
        <w:rPr>
          <w:rFonts w:ascii="Calibri" w:hAnsi="Calibri"/>
          <w:color w:val="243447"/>
          <w:sz w:val="22"/>
        </w:rPr>
        <w:t>The recommended complete scope is a shared frontend foundation plus targeted asynchronous integrations and backend integrity controls. A page-by-page button patch is faster initially but creates inconsistent behavior and higher regression cost.</w:t>
      </w:r>
    </w:p>
    <w:p>
      <w:pPr>
        <w:pStyle w:val="Heading2"/>
      </w:pPr>
      <w:r>
        <w:t>12.1 Implementation approach</w:t>
      </w:r>
    </w:p>
    <w:p>
      <w:pPr>
        <w:spacing w:after="120" w:line="264" w:lineRule="auto"/>
      </w:pPr>
      <w:r>
        <w:rPr>
          <w:rFonts w:ascii="Calibri" w:hAnsi="Calibri"/>
          <w:color w:val="243447"/>
          <w:sz w:val="22"/>
        </w:rPr>
        <w:t>The shared layouts make centralized form protection practical, while the large number of page-local AJAX handlers requires targeted integration. Delivery should start with stable defaults and then move through the workflows with the highest duplicate-action or state-transition risk.</w:t>
      </w:r>
    </w:p>
    <w:p>
      <w:pPr>
        <w:numPr>
          <w:ilvl w:val="0"/>
          <w:numId w:val="10"/>
        </w:numPr>
      </w:pPr>
      <w:r>
        <w:rPr>
          <w:rFonts w:ascii="Calibri" w:hAnsi="Calibri"/>
          <w:color w:val="243447"/>
          <w:sz w:val="22"/>
        </w:rPr>
        <w:t>Foundation: one deterministic action-state API, one shared loader component, and one delegated valid-form submission handler.</w:t>
      </w:r>
    </w:p>
    <w:p>
      <w:pPr>
        <w:numPr>
          <w:ilvl w:val="0"/>
          <w:numId w:val="10"/>
        </w:numPr>
      </w:pPr>
      <w:r>
        <w:rPr>
          <w:rFonts w:ascii="Calibri" w:hAnsi="Calibri"/>
          <w:color w:val="243447"/>
          <w:sz w:val="22"/>
        </w:rPr>
        <w:t>Workflow integration: application, emptying, approval, import, language save, export, and representative map actions.</w:t>
      </w:r>
    </w:p>
    <w:p>
      <w:pPr>
        <w:numPr>
          <w:ilvl w:val="0"/>
          <w:numId w:val="10"/>
        </w:numPr>
      </w:pPr>
      <w:r>
        <w:rPr>
          <w:rFonts w:ascii="Calibri" w:hAnsi="Calibri"/>
          <w:color w:val="243447"/>
          <w:sz w:val="22"/>
        </w:rPr>
        <w:t>Integrity controls: identify operations where duplicate records or repeated state transitions have business impact and protect them on the server.</w:t>
      </w:r>
    </w:p>
    <w:p>
      <w:pPr>
        <w:numPr>
          <w:ilvl w:val="0"/>
          <w:numId w:val="10"/>
        </w:numPr>
      </w:pPr>
      <w:r>
        <w:rPr>
          <w:rFonts w:ascii="Calibri" w:hAnsi="Calibri"/>
          <w:color w:val="243447"/>
          <w:sz w:val="22"/>
        </w:rPr>
        <w:t>Regression control: document exceptions instead of adding page-specific overrides without review.</w:t>
      </w:r>
    </w:p>
    <w:p>
      <w:pPr>
        <w:pStyle w:val="Heading2"/>
      </w:pPr>
      <w:r>
        <w:t>12.2 Complexity assessment</w:t>
      </w:r>
    </w:p>
    <w:tbl>
      <w:tblPr>
        <w:tblStyle w:val="TableGrid"/>
        <w:tblW w:type="dxa" w:w="9360"/>
        <w:jc w:val="left"/>
        <w:tblLayout w:type="fixed"/>
        <w:tblLook w:firstColumn="1" w:firstRow="1" w:lastColumn="0" w:lastRow="0" w:noHBand="0" w:noVBand="1" w:val="04A0"/>
        <w:tblInd w:w="120" w:type="dxa"/>
      </w:tblPr>
      <w:tblGrid>
        <w:gridCol w:w="2600"/>
        <w:gridCol w:w="1600"/>
        <w:gridCol w:w="5160"/>
      </w:tblGrid>
      <w:tr>
        <w:trPr>
          <w:tblHeader w:val="true"/>
          <w:cantSplit/>
        </w:trPr>
        <w:tc>
          <w:tcPr>
            <w:tcW w:type="dxa" w:w="2600"/>
            <w:shd w:fill="F2F4F7"/>
            <w:vAlign w:val="center"/>
            <w:tcMar>
              <w:top w:w="80" w:type="dxa"/>
              <w:start w:w="120" w:type="dxa"/>
              <w:bottom w:w="80" w:type="dxa"/>
              <w:end w:w="120" w:type="dxa"/>
            </w:tcMar>
          </w:tcPr>
          <w:p>
            <w:pPr>
              <w:spacing w:after="0"/>
            </w:pPr>
            <w:r>
              <w:rPr>
                <w:rFonts w:ascii="Calibri" w:hAnsi="Calibri"/>
                <w:b/>
                <w:color w:val="243447"/>
                <w:sz w:val="20"/>
              </w:rPr>
              <w:t>Area</w:t>
            </w:r>
          </w:p>
        </w:tc>
        <w:tc>
          <w:tcPr>
            <w:tcW w:type="dxa" w:w="1600"/>
            <w:shd w:fill="F2F4F7"/>
            <w:vAlign w:val="center"/>
            <w:tcMar>
              <w:top w:w="80" w:type="dxa"/>
              <w:start w:w="120" w:type="dxa"/>
              <w:bottom w:w="80" w:type="dxa"/>
              <w:end w:w="120" w:type="dxa"/>
            </w:tcMar>
          </w:tcPr>
          <w:p>
            <w:pPr>
              <w:spacing w:after="0"/>
            </w:pPr>
            <w:r>
              <w:rPr>
                <w:rFonts w:ascii="Calibri" w:hAnsi="Calibri"/>
                <w:b/>
                <w:color w:val="243447"/>
                <w:sz w:val="20"/>
              </w:rPr>
              <w:t>Complexity</w:t>
            </w:r>
          </w:p>
        </w:tc>
        <w:tc>
          <w:tcPr>
            <w:tcW w:type="dxa" w:w="5160"/>
            <w:shd w:fill="F2F4F7"/>
            <w:vAlign w:val="center"/>
            <w:tcMar>
              <w:top w:w="80" w:type="dxa"/>
              <w:start w:w="120" w:type="dxa"/>
              <w:bottom w:w="80" w:type="dxa"/>
              <w:end w:w="120" w:type="dxa"/>
            </w:tcMar>
          </w:tcPr>
          <w:p>
            <w:pPr>
              <w:spacing w:after="0"/>
            </w:pPr>
            <w:r>
              <w:rPr>
                <w:rFonts w:ascii="Calibri" w:hAnsi="Calibri"/>
                <w:b/>
                <w:color w:val="243447"/>
                <w:sz w:val="20"/>
              </w:rPr>
              <w:t>Analysis</w:t>
            </w:r>
          </w:p>
        </w:tc>
      </w:tr>
      <w:tr>
        <w:trPr>
          <w:cantSplit/>
        </w:trPr>
        <w:tc>
          <w:tcPr>
            <w:tcW w:type="dxa" w:w="2600"/>
            <w:vAlign w:val="center"/>
            <w:tcMar>
              <w:top w:w="80" w:type="dxa"/>
              <w:start w:w="120" w:type="dxa"/>
              <w:bottom w:w="80" w:type="dxa"/>
              <w:end w:w="120" w:type="dxa"/>
            </w:tcMar>
          </w:tcPr>
          <w:p>
            <w:pPr>
              <w:spacing w:after="0" w:line="259" w:lineRule="auto"/>
            </w:pPr>
            <w:r>
              <w:rPr>
                <w:rFonts w:ascii="Calibri" w:hAnsi="Calibri"/>
                <w:color w:val="243447"/>
                <w:sz w:val="19"/>
              </w:rPr>
              <w:t>Shared Blade layouts</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Low to medium</w:t>
            </w:r>
          </w:p>
        </w:tc>
        <w:tc>
          <w:tcPr>
            <w:tcW w:type="dxa" w:w="5160"/>
            <w:vAlign w:val="center"/>
            <w:tcMar>
              <w:top w:w="80" w:type="dxa"/>
              <w:start w:w="120" w:type="dxa"/>
              <w:bottom w:w="80" w:type="dxa"/>
              <w:end w:w="120" w:type="dxa"/>
            </w:tcMar>
          </w:tcPr>
          <w:p>
            <w:pPr>
              <w:spacing w:after="0" w:line="259" w:lineRule="auto"/>
            </w:pPr>
            <w:r>
              <w:rPr>
                <w:rFonts w:ascii="Calibri" w:hAnsi="Calibri"/>
                <w:color w:val="243447"/>
                <w:sz w:val="19"/>
              </w:rPr>
              <w:t>Centralization is practical, but dashboard, layers, and maps require different blocking policies.</w:t>
            </w:r>
          </w:p>
        </w:tc>
      </w:tr>
      <w:tr>
        <w:trPr>
          <w:cantSplit/>
        </w:trPr>
        <w:tc>
          <w:tcPr>
            <w:tcW w:type="dxa" w:w="2600"/>
            <w:vAlign w:val="center"/>
            <w:tcMar>
              <w:top w:w="80" w:type="dxa"/>
              <w:start w:w="120" w:type="dxa"/>
              <w:bottom w:w="80" w:type="dxa"/>
              <w:end w:w="120" w:type="dxa"/>
            </w:tcMar>
          </w:tcPr>
          <w:p>
            <w:pPr>
              <w:spacing w:after="0" w:line="259" w:lineRule="auto"/>
            </w:pPr>
            <w:r>
              <w:rPr>
                <w:rFonts w:ascii="Calibri" w:hAnsi="Calibri"/>
                <w:color w:val="243447"/>
                <w:sz w:val="19"/>
              </w:rPr>
              <w:t>Standard forms</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Medium</w:t>
            </w:r>
          </w:p>
        </w:tc>
        <w:tc>
          <w:tcPr>
            <w:tcW w:type="dxa" w:w="5160"/>
            <w:vAlign w:val="center"/>
            <w:tcMar>
              <w:top w:w="80" w:type="dxa"/>
              <w:start w:w="120" w:type="dxa"/>
              <w:bottom w:w="80" w:type="dxa"/>
              <w:end w:w="120" w:type="dxa"/>
            </w:tcMar>
          </w:tcPr>
          <w:p>
            <w:pPr>
              <w:spacing w:after="0" w:line="259" w:lineRule="auto"/>
            </w:pPr>
            <w:r>
              <w:rPr>
                <w:rFonts w:ascii="Calibri" w:hAnsi="Calibri"/>
                <w:color w:val="243447"/>
                <w:sz w:val="19"/>
              </w:rPr>
              <w:t>Native validation, Enter-key submission, file upload, and browser history restoration must be preserved.</w:t>
            </w:r>
          </w:p>
        </w:tc>
      </w:tr>
      <w:tr>
        <w:trPr>
          <w:cantSplit/>
        </w:trPr>
        <w:tc>
          <w:tcPr>
            <w:tcW w:type="dxa" w:w="2600"/>
            <w:vAlign w:val="center"/>
            <w:tcMar>
              <w:top w:w="80" w:type="dxa"/>
              <w:start w:w="120" w:type="dxa"/>
              <w:bottom w:w="80" w:type="dxa"/>
              <w:end w:w="120" w:type="dxa"/>
            </w:tcMar>
          </w:tcPr>
          <w:p>
            <w:pPr>
              <w:spacing w:after="0" w:line="259" w:lineRule="auto"/>
            </w:pPr>
            <w:r>
              <w:rPr>
                <w:rFonts w:ascii="Calibri" w:hAnsi="Calibri"/>
                <w:color w:val="243447"/>
                <w:sz w:val="19"/>
              </w:rPr>
              <w:t>AJAX and Fetch actions</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Medium to high</w:t>
            </w:r>
          </w:p>
        </w:tc>
        <w:tc>
          <w:tcPr>
            <w:tcW w:type="dxa" w:w="5160"/>
            <w:vAlign w:val="center"/>
            <w:tcMar>
              <w:top w:w="80" w:type="dxa"/>
              <w:start w:w="120" w:type="dxa"/>
              <w:bottom w:w="80" w:type="dxa"/>
              <w:end w:w="120" w:type="dxa"/>
            </w:tcMar>
          </w:tcPr>
          <w:p>
            <w:pPr>
              <w:spacing w:after="0" w:line="259" w:lineRule="auto"/>
            </w:pPr>
            <w:r>
              <w:rPr>
                <w:rFonts w:ascii="Calibri" w:hAnsi="Calibri"/>
                <w:color w:val="243447"/>
                <w:sz w:val="19"/>
              </w:rPr>
              <w:t>Handlers are page-local and cleanup patterns are inconsistent.</w:t>
            </w:r>
          </w:p>
        </w:tc>
      </w:tr>
      <w:tr>
        <w:trPr>
          <w:cantSplit/>
        </w:trPr>
        <w:tc>
          <w:tcPr>
            <w:tcW w:type="dxa" w:w="2600"/>
            <w:vAlign w:val="center"/>
            <w:tcMar>
              <w:top w:w="80" w:type="dxa"/>
              <w:start w:w="120" w:type="dxa"/>
              <w:bottom w:w="80" w:type="dxa"/>
              <w:end w:w="120" w:type="dxa"/>
            </w:tcMar>
          </w:tcPr>
          <w:p>
            <w:pPr>
              <w:spacing w:after="0" w:line="259" w:lineRule="auto"/>
            </w:pPr>
            <w:r>
              <w:rPr>
                <w:rFonts w:ascii="Calibri" w:hAnsi="Calibri"/>
                <w:color w:val="243447"/>
                <w:sz w:val="19"/>
              </w:rPr>
              <w:t>Map surface</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High</w:t>
            </w:r>
          </w:p>
        </w:tc>
        <w:tc>
          <w:tcPr>
            <w:tcW w:type="dxa" w:w="5160"/>
            <w:vAlign w:val="center"/>
            <w:tcMar>
              <w:top w:w="80" w:type="dxa"/>
              <w:start w:w="120" w:type="dxa"/>
              <w:bottom w:w="80" w:type="dxa"/>
              <w:end w:w="120" w:type="dxa"/>
            </w:tcMar>
          </w:tcPr>
          <w:p>
            <w:pPr>
              <w:spacing w:after="0" w:line="259" w:lineRule="auto"/>
            </w:pPr>
            <w:r>
              <w:rPr>
                <w:rFonts w:ascii="Calibri" w:hAnsi="Calibri"/>
                <w:color w:val="243447"/>
                <w:sz w:val="19"/>
              </w:rPr>
              <w:t>Concurrent requests and interactive controls make global blocking unsafe without request ownership.</w:t>
            </w:r>
          </w:p>
        </w:tc>
      </w:tr>
      <w:tr>
        <w:trPr>
          <w:cantSplit/>
        </w:trPr>
        <w:tc>
          <w:tcPr>
            <w:tcW w:type="dxa" w:w="2600"/>
            <w:vAlign w:val="center"/>
            <w:tcMar>
              <w:top w:w="80" w:type="dxa"/>
              <w:start w:w="120" w:type="dxa"/>
              <w:bottom w:w="80" w:type="dxa"/>
              <w:end w:w="120" w:type="dxa"/>
            </w:tcMar>
          </w:tcPr>
          <w:p>
            <w:pPr>
              <w:spacing w:after="0" w:line="259" w:lineRule="auto"/>
            </w:pPr>
            <w:r>
              <w:rPr>
                <w:rFonts w:ascii="Calibri" w:hAnsi="Calibri"/>
                <w:color w:val="243447"/>
                <w:sz w:val="19"/>
              </w:rPr>
              <w:t>Backend safeguards</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Medium to high</w:t>
            </w:r>
          </w:p>
        </w:tc>
        <w:tc>
          <w:tcPr>
            <w:tcW w:type="dxa" w:w="5160"/>
            <w:vAlign w:val="center"/>
            <w:tcMar>
              <w:top w:w="80" w:type="dxa"/>
              <w:start w:w="120" w:type="dxa"/>
              <w:bottom w:w="80" w:type="dxa"/>
              <w:end w:w="120" w:type="dxa"/>
            </w:tcMar>
          </w:tcPr>
          <w:p>
            <w:pPr>
              <w:spacing w:after="0" w:line="259" w:lineRule="auto"/>
            </w:pPr>
            <w:r>
              <w:rPr>
                <w:rFonts w:ascii="Calibri" w:hAnsi="Calibri"/>
                <w:color w:val="243447"/>
                <w:sz w:val="19"/>
              </w:rPr>
              <w:t>Effort depends on business uniqueness rules, state transitions, and database constraints.</w:t>
            </w:r>
          </w:p>
        </w:tc>
      </w:tr>
      <w:tr>
        <w:trPr>
          <w:cantSplit/>
        </w:trPr>
        <w:tc>
          <w:tcPr>
            <w:tcW w:type="dxa" w:w="2600"/>
            <w:vAlign w:val="center"/>
            <w:tcMar>
              <w:top w:w="80" w:type="dxa"/>
              <w:start w:w="120" w:type="dxa"/>
              <w:bottom w:w="80" w:type="dxa"/>
              <w:end w:w="120" w:type="dxa"/>
            </w:tcMar>
          </w:tcPr>
          <w:p>
            <w:pPr>
              <w:spacing w:after="0" w:line="259" w:lineRule="auto"/>
            </w:pPr>
            <w:r>
              <w:rPr>
                <w:rFonts w:ascii="Calibri" w:hAnsi="Calibri"/>
                <w:color w:val="243447"/>
                <w:sz w:val="19"/>
              </w:rPr>
              <w:t>QA regression</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High breadth</w:t>
            </w:r>
          </w:p>
        </w:tc>
        <w:tc>
          <w:tcPr>
            <w:tcW w:type="dxa" w:w="5160"/>
            <w:vAlign w:val="center"/>
            <w:tcMar>
              <w:top w:w="80" w:type="dxa"/>
              <w:start w:w="120" w:type="dxa"/>
              <w:bottom w:w="80" w:type="dxa"/>
              <w:end w:w="120" w:type="dxa"/>
            </w:tcMar>
          </w:tcPr>
          <w:p>
            <w:pPr>
              <w:spacing w:after="0" w:line="259" w:lineRule="auto"/>
            </w:pPr>
            <w:r>
              <w:rPr>
                <w:rFonts w:ascii="Calibri" w:hAnsi="Calibri"/>
                <w:color w:val="243447"/>
                <w:sz w:val="19"/>
              </w:rPr>
              <w:t>Representative roles and modules must be tested even though the shared code change is compact.</w:t>
            </w:r>
          </w:p>
        </w:tc>
      </w:tr>
    </w:tbl>
    <w:p>
      <w:pPr>
        <w:spacing w:after="0"/>
      </w:pPr>
    </w:p>
    <w:p>
      <w:pPr>
        <w:pStyle w:val="Heading2"/>
      </w:pPr>
      <w:r>
        <w:t>12.3 Key implementation risks</w:t>
      </w:r>
    </w:p>
    <w:p>
      <w:pPr>
        <w:numPr>
          <w:ilvl w:val="0"/>
          <w:numId w:val="10"/>
        </w:numPr>
      </w:pPr>
      <w:r>
        <w:rPr>
          <w:rFonts w:ascii="Calibri" w:hAnsi="Calibri"/>
          <w:color w:val="243447"/>
          <w:sz w:val="22"/>
        </w:rPr>
        <w:t>Legacy handlers may enable or disable submit controls for their own business rules and could conflict with shared locking.</w:t>
      </w:r>
    </w:p>
    <w:p>
      <w:pPr>
        <w:numPr>
          <w:ilvl w:val="0"/>
          <w:numId w:val="10"/>
        </w:numPr>
      </w:pPr>
      <w:r>
        <w:rPr>
          <w:rFonts w:ascii="Calibri" w:hAnsi="Calibri"/>
          <w:color w:val="243447"/>
          <w:sz w:val="22"/>
        </w:rPr>
        <w:t>A global AJAX listener can mis-handle concurrent requests, especially on the map screen.</w:t>
      </w:r>
    </w:p>
    <w:p>
      <w:pPr>
        <w:numPr>
          <w:ilvl w:val="0"/>
          <w:numId w:val="10"/>
        </w:numPr>
      </w:pPr>
      <w:r>
        <w:rPr>
          <w:rFonts w:ascii="Calibri" w:hAnsi="Calibri"/>
          <w:color w:val="243447"/>
          <w:sz w:val="22"/>
        </w:rPr>
        <w:t>Disabling controls too early can suppress native validation or omit a meaningful submitter value.</w:t>
      </w:r>
    </w:p>
    <w:p>
      <w:pPr>
        <w:numPr>
          <w:ilvl w:val="0"/>
          <w:numId w:val="10"/>
        </w:numPr>
      </w:pPr>
      <w:r>
        <w:rPr>
          <w:rFonts w:ascii="Calibri" w:hAnsi="Calibri"/>
          <w:color w:val="243447"/>
          <w:sz w:val="22"/>
        </w:rPr>
        <w:t>Frontend locking may create false confidence if duplicate protection is absent from critical backend operations.</w:t>
      </w:r>
    </w:p>
    <w:p>
      <w:pPr>
        <w:numPr>
          <w:ilvl w:val="0"/>
          <w:numId w:val="10"/>
        </w:numPr>
      </w:pPr>
      <w:r>
        <w:rPr>
          <w:rFonts w:ascii="Calibri" w:hAnsi="Calibri"/>
          <w:color w:val="243447"/>
          <w:sz w:val="22"/>
        </w:rPr>
        <w:t>State-changing GET endpoints require contract and QA updates, not only visual loading changes.</w:t>
      </w:r>
    </w:p>
    <w:p>
      <w:pPr>
        <w:pStyle w:val="Heading1"/>
      </w:pPr>
      <w:r>
        <w:t>13. Effort and schedule estimate</w:t>
      </w:r>
    </w:p>
    <w:p>
      <w:pPr>
        <w:pStyle w:val="IMISCallout"/>
        <w:shd w:fill="EAF2F8"/>
        <w:pBdr>
          <w:left w:val="single" w:sz="18" w:space="8" w:color="2E74B5"/>
        </w:pBdr>
      </w:pPr>
      <w:r>
        <w:rPr>
          <w:rFonts w:ascii="Calibri" w:hAnsi="Calibri"/>
          <w:b/>
          <w:color w:val="2E74B5"/>
          <w:sz w:val="22"/>
        </w:rPr>
        <w:t xml:space="preserve">PLANNING ESTIMATE  </w:t>
      </w:r>
      <w:r>
        <w:rPr>
          <w:rFonts w:ascii="Calibri" w:hAnsi="Calibri"/>
          <w:color w:val="243447"/>
          <w:sz w:val="22"/>
        </w:rPr>
        <w:t>10 engineer days plus 3 QA days. Expected calendar duration is approximately 2-3 working weeks with one primary engineer and one QA resource, including review, regression fixes, and sign-off.</w:t>
      </w:r>
    </w:p>
    <w:tbl>
      <w:tblPr>
        <w:tblStyle w:val="TableGrid"/>
        <w:tblW w:type="dxa" w:w="9360"/>
        <w:jc w:val="left"/>
        <w:tblLayout w:type="fixed"/>
        <w:tblLook w:firstColumn="1" w:firstRow="1" w:lastColumn="0" w:lastRow="0" w:noHBand="0" w:noVBand="1" w:val="04A0"/>
        <w:tblInd w:w="120" w:type="dxa"/>
      </w:tblPr>
      <w:tblGrid>
        <w:gridCol w:w="3000"/>
        <w:gridCol w:w="1600"/>
        <w:gridCol w:w="900"/>
        <w:gridCol w:w="3860"/>
      </w:tblGrid>
      <w:tr>
        <w:trPr>
          <w:tblHeader w:val="true"/>
          <w:cantSplit/>
        </w:trPr>
        <w:tc>
          <w:tcPr>
            <w:tcW w:type="dxa" w:w="3000"/>
            <w:shd w:fill="F2F4F7"/>
            <w:vAlign w:val="center"/>
            <w:tcMar>
              <w:top w:w="80" w:type="dxa"/>
              <w:start w:w="120" w:type="dxa"/>
              <w:bottom w:w="80" w:type="dxa"/>
              <w:end w:w="120" w:type="dxa"/>
            </w:tcMar>
          </w:tcPr>
          <w:p>
            <w:pPr>
              <w:spacing w:after="0"/>
            </w:pPr>
            <w:r>
              <w:rPr>
                <w:rFonts w:ascii="Calibri" w:hAnsi="Calibri"/>
                <w:b/>
                <w:color w:val="243447"/>
                <w:sz w:val="20"/>
              </w:rPr>
              <w:t>Work package</w:t>
            </w:r>
          </w:p>
        </w:tc>
        <w:tc>
          <w:tcPr>
            <w:tcW w:type="dxa" w:w="1600"/>
            <w:shd w:fill="F2F4F7"/>
            <w:vAlign w:val="center"/>
            <w:tcMar>
              <w:top w:w="80" w:type="dxa"/>
              <w:start w:w="120" w:type="dxa"/>
              <w:bottom w:w="80" w:type="dxa"/>
              <w:end w:w="120" w:type="dxa"/>
            </w:tcMar>
          </w:tcPr>
          <w:p>
            <w:pPr>
              <w:spacing w:after="0"/>
            </w:pPr>
            <w:r>
              <w:rPr>
                <w:rFonts w:ascii="Calibri" w:hAnsi="Calibri"/>
                <w:b/>
                <w:color w:val="243447"/>
                <w:sz w:val="20"/>
              </w:rPr>
              <w:t>Engineer effort</w:t>
            </w:r>
          </w:p>
        </w:tc>
        <w:tc>
          <w:tcPr>
            <w:tcW w:type="dxa" w:w="900"/>
            <w:shd w:fill="F2F4F7"/>
            <w:vAlign w:val="center"/>
            <w:tcMar>
              <w:top w:w="80" w:type="dxa"/>
              <w:start w:w="120" w:type="dxa"/>
              <w:bottom w:w="80" w:type="dxa"/>
              <w:end w:w="120" w:type="dxa"/>
            </w:tcMar>
          </w:tcPr>
          <w:p>
            <w:pPr>
              <w:spacing w:after="0"/>
            </w:pPr>
            <w:r>
              <w:rPr>
                <w:rFonts w:ascii="Calibri" w:hAnsi="Calibri"/>
                <w:b/>
                <w:color w:val="243447"/>
                <w:sz w:val="20"/>
              </w:rPr>
              <w:t>Hours</w:t>
            </w:r>
          </w:p>
        </w:tc>
        <w:tc>
          <w:tcPr>
            <w:tcW w:type="dxa" w:w="3860"/>
            <w:shd w:fill="F2F4F7"/>
            <w:vAlign w:val="center"/>
            <w:tcMar>
              <w:top w:w="80" w:type="dxa"/>
              <w:start w:w="120" w:type="dxa"/>
              <w:bottom w:w="80" w:type="dxa"/>
              <w:end w:w="120" w:type="dxa"/>
            </w:tcMar>
          </w:tcPr>
          <w:p>
            <w:pPr>
              <w:spacing w:after="0"/>
            </w:pPr>
            <w:r>
              <w:rPr>
                <w:rFonts w:ascii="Calibri" w:hAnsi="Calibri"/>
                <w:b/>
                <w:color w:val="243447"/>
                <w:sz w:val="20"/>
              </w:rPr>
              <w:t>Primary output</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243447"/>
                <w:sz w:val="19"/>
              </w:rPr>
              <w:t>Technical design and action inventory</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0.5-1.0 day</w:t>
            </w:r>
          </w:p>
        </w:tc>
        <w:tc>
          <w:tcPr>
            <w:tcW w:type="dxa" w:w="900"/>
            <w:vAlign w:val="center"/>
            <w:tcMar>
              <w:top w:w="80" w:type="dxa"/>
              <w:start w:w="120" w:type="dxa"/>
              <w:bottom w:w="80" w:type="dxa"/>
              <w:end w:w="120" w:type="dxa"/>
            </w:tcMar>
          </w:tcPr>
          <w:p>
            <w:pPr>
              <w:spacing w:after="0" w:line="259" w:lineRule="auto"/>
            </w:pPr>
            <w:r>
              <w:rPr>
                <w:rFonts w:ascii="Calibri" w:hAnsi="Calibri"/>
                <w:color w:val="243447"/>
                <w:sz w:val="19"/>
              </w:rPr>
              <w:t>4-8</w:t>
            </w:r>
          </w:p>
        </w:tc>
        <w:tc>
          <w:tcPr>
            <w:tcW w:type="dxa" w:w="3860"/>
            <w:vAlign w:val="center"/>
            <w:tcMar>
              <w:top w:w="80" w:type="dxa"/>
              <w:start w:w="120" w:type="dxa"/>
              <w:bottom w:w="80" w:type="dxa"/>
              <w:end w:w="120" w:type="dxa"/>
            </w:tcMar>
          </w:tcPr>
          <w:p>
            <w:pPr>
              <w:spacing w:after="0" w:line="259" w:lineRule="auto"/>
            </w:pPr>
            <w:r>
              <w:rPr>
                <w:rFonts w:ascii="Calibri" w:hAnsi="Calibri"/>
                <w:color w:val="243447"/>
                <w:sz w:val="19"/>
              </w:rPr>
              <w:t>Confirmed policy, priority workflows, and exceptions.</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243447"/>
                <w:sz w:val="19"/>
              </w:rPr>
              <w:t>Shared loader/action-state foundation</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1.5-2.0 days</w:t>
            </w:r>
          </w:p>
        </w:tc>
        <w:tc>
          <w:tcPr>
            <w:tcW w:type="dxa" w:w="900"/>
            <w:vAlign w:val="center"/>
            <w:tcMar>
              <w:top w:w="80" w:type="dxa"/>
              <w:start w:w="120" w:type="dxa"/>
              <w:bottom w:w="80" w:type="dxa"/>
              <w:end w:w="120" w:type="dxa"/>
            </w:tcMar>
          </w:tcPr>
          <w:p>
            <w:pPr>
              <w:spacing w:after="0" w:line="259" w:lineRule="auto"/>
            </w:pPr>
            <w:r>
              <w:rPr>
                <w:rFonts w:ascii="Calibri" w:hAnsi="Calibri"/>
                <w:color w:val="243447"/>
                <w:sz w:val="19"/>
              </w:rPr>
              <w:t>12-16</w:t>
            </w:r>
          </w:p>
        </w:tc>
        <w:tc>
          <w:tcPr>
            <w:tcW w:type="dxa" w:w="3860"/>
            <w:vAlign w:val="center"/>
            <w:tcMar>
              <w:top w:w="80" w:type="dxa"/>
              <w:start w:w="120" w:type="dxa"/>
              <w:bottom w:w="80" w:type="dxa"/>
              <w:end w:w="120" w:type="dxa"/>
            </w:tcMar>
          </w:tcPr>
          <w:p>
            <w:pPr>
              <w:spacing w:after="0" w:line="259" w:lineRule="auto"/>
            </w:pPr>
            <w:r>
              <w:rPr>
                <w:rFonts w:ascii="Calibri" w:hAnsi="Calibri"/>
                <w:color w:val="243447"/>
                <w:sz w:val="19"/>
              </w:rPr>
              <w:t>Layouts, deterministic API, and shared styles.</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243447"/>
                <w:sz w:val="19"/>
              </w:rPr>
              <w:t>Form submission protection</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1.0-1.5 days</w:t>
            </w:r>
          </w:p>
        </w:tc>
        <w:tc>
          <w:tcPr>
            <w:tcW w:type="dxa" w:w="900"/>
            <w:vAlign w:val="center"/>
            <w:tcMar>
              <w:top w:w="80" w:type="dxa"/>
              <w:start w:w="120" w:type="dxa"/>
              <w:bottom w:w="80" w:type="dxa"/>
              <w:end w:w="120" w:type="dxa"/>
            </w:tcMar>
          </w:tcPr>
          <w:p>
            <w:pPr>
              <w:spacing w:after="0" w:line="259" w:lineRule="auto"/>
            </w:pPr>
            <w:r>
              <w:rPr>
                <w:rFonts w:ascii="Calibri" w:hAnsi="Calibri"/>
                <w:color w:val="243447"/>
                <w:sz w:val="19"/>
              </w:rPr>
              <w:t>8-12</w:t>
            </w:r>
          </w:p>
        </w:tc>
        <w:tc>
          <w:tcPr>
            <w:tcW w:type="dxa" w:w="3860"/>
            <w:vAlign w:val="center"/>
            <w:tcMar>
              <w:top w:w="80" w:type="dxa"/>
              <w:start w:w="120" w:type="dxa"/>
              <w:bottom w:w="80" w:type="dxa"/>
              <w:end w:w="120" w:type="dxa"/>
            </w:tcMar>
          </w:tcPr>
          <w:p>
            <w:pPr>
              <w:spacing w:after="0" w:line="259" w:lineRule="auto"/>
            </w:pPr>
            <w:r>
              <w:rPr>
                <w:rFonts w:ascii="Calibri" w:hAnsi="Calibri"/>
                <w:color w:val="243447"/>
                <w:sz w:val="19"/>
              </w:rPr>
              <w:t>Validation-safe locking, accessibility, Enter and history behavior.</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243447"/>
                <w:sz w:val="19"/>
              </w:rPr>
              <w:t>AJAX/Fetch workflow integration</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2.0-3.0 days</w:t>
            </w:r>
          </w:p>
        </w:tc>
        <w:tc>
          <w:tcPr>
            <w:tcW w:type="dxa" w:w="900"/>
            <w:vAlign w:val="center"/>
            <w:tcMar>
              <w:top w:w="80" w:type="dxa"/>
              <w:start w:w="120" w:type="dxa"/>
              <w:bottom w:w="80" w:type="dxa"/>
              <w:end w:w="120" w:type="dxa"/>
            </w:tcMar>
          </w:tcPr>
          <w:p>
            <w:pPr>
              <w:spacing w:after="0" w:line="259" w:lineRule="auto"/>
            </w:pPr>
            <w:r>
              <w:rPr>
                <w:rFonts w:ascii="Calibri" w:hAnsi="Calibri"/>
                <w:color w:val="243447"/>
                <w:sz w:val="19"/>
              </w:rPr>
              <w:t>16-24</w:t>
            </w:r>
          </w:p>
        </w:tc>
        <w:tc>
          <w:tcPr>
            <w:tcW w:type="dxa" w:w="3860"/>
            <w:vAlign w:val="center"/>
            <w:tcMar>
              <w:top w:w="80" w:type="dxa"/>
              <w:start w:w="120" w:type="dxa"/>
              <w:bottom w:w="80" w:type="dxa"/>
              <w:end w:w="120" w:type="dxa"/>
            </w:tcMar>
          </w:tcPr>
          <w:p>
            <w:pPr>
              <w:spacing w:after="0" w:line="259" w:lineRule="auto"/>
            </w:pPr>
            <w:r>
              <w:rPr>
                <w:rFonts w:ascii="Calibri" w:hAnsi="Calibri"/>
                <w:color w:val="243447"/>
                <w:sz w:val="19"/>
              </w:rPr>
              <w:t>High-risk workflows with guaranteed cleanup.</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243447"/>
                <w:sz w:val="19"/>
              </w:rPr>
              <w:t>Backend integrity and endpoint review</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1.5-3.0 days</w:t>
            </w:r>
          </w:p>
        </w:tc>
        <w:tc>
          <w:tcPr>
            <w:tcW w:type="dxa" w:w="900"/>
            <w:vAlign w:val="center"/>
            <w:tcMar>
              <w:top w:w="80" w:type="dxa"/>
              <w:start w:w="120" w:type="dxa"/>
              <w:bottom w:w="80" w:type="dxa"/>
              <w:end w:w="120" w:type="dxa"/>
            </w:tcMar>
          </w:tcPr>
          <w:p>
            <w:pPr>
              <w:spacing w:after="0" w:line="259" w:lineRule="auto"/>
            </w:pPr>
            <w:r>
              <w:rPr>
                <w:rFonts w:ascii="Calibri" w:hAnsi="Calibri"/>
                <w:color w:val="243447"/>
                <w:sz w:val="19"/>
              </w:rPr>
              <w:t>12-24</w:t>
            </w:r>
          </w:p>
        </w:tc>
        <w:tc>
          <w:tcPr>
            <w:tcW w:type="dxa" w:w="3860"/>
            <w:vAlign w:val="center"/>
            <w:tcMar>
              <w:top w:w="80" w:type="dxa"/>
              <w:start w:w="120" w:type="dxa"/>
              <w:bottom w:w="80" w:type="dxa"/>
              <w:end w:w="120" w:type="dxa"/>
            </w:tcMar>
          </w:tcPr>
          <w:p>
            <w:pPr>
              <w:spacing w:after="0" w:line="259" w:lineRule="auto"/>
            </w:pPr>
            <w:r>
              <w:rPr>
                <w:rFonts w:ascii="Calibri" w:hAnsi="Calibri"/>
                <w:color w:val="243447"/>
                <w:sz w:val="19"/>
              </w:rPr>
              <w:t>State guards, constraints/idempotency, and corrected methods.</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243447"/>
                <w:sz w:val="19"/>
              </w:rPr>
              <w:t>Developer tests and documentation</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1.0-1.5 days</w:t>
            </w:r>
          </w:p>
        </w:tc>
        <w:tc>
          <w:tcPr>
            <w:tcW w:type="dxa" w:w="900"/>
            <w:vAlign w:val="center"/>
            <w:tcMar>
              <w:top w:w="80" w:type="dxa"/>
              <w:start w:w="120" w:type="dxa"/>
              <w:bottom w:w="80" w:type="dxa"/>
              <w:end w:w="120" w:type="dxa"/>
            </w:tcMar>
          </w:tcPr>
          <w:p>
            <w:pPr>
              <w:spacing w:after="0" w:line="259" w:lineRule="auto"/>
            </w:pPr>
            <w:r>
              <w:rPr>
                <w:rFonts w:ascii="Calibri" w:hAnsi="Calibri"/>
                <w:color w:val="243447"/>
                <w:sz w:val="19"/>
              </w:rPr>
              <w:t>8-12</w:t>
            </w:r>
          </w:p>
        </w:tc>
        <w:tc>
          <w:tcPr>
            <w:tcW w:type="dxa" w:w="3860"/>
            <w:vAlign w:val="center"/>
            <w:tcMar>
              <w:top w:w="80" w:type="dxa"/>
              <w:start w:w="120" w:type="dxa"/>
              <w:bottom w:w="80" w:type="dxa"/>
              <w:end w:w="120" w:type="dxa"/>
            </w:tcMar>
          </w:tcPr>
          <w:p>
            <w:pPr>
              <w:spacing w:after="0" w:line="259" w:lineRule="auto"/>
            </w:pPr>
            <w:r>
              <w:rPr>
                <w:rFonts w:ascii="Calibri" w:hAnsi="Calibri"/>
                <w:color w:val="243447"/>
                <w:sz w:val="19"/>
              </w:rPr>
              <w:t>Regression evidence and usage guidance.</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243447"/>
                <w:sz w:val="19"/>
              </w:rPr>
              <w:t>QA execution and retesting</w:t>
            </w:r>
          </w:p>
        </w:tc>
        <w:tc>
          <w:tcPr>
            <w:tcW w:type="dxa" w:w="1600"/>
            <w:vAlign w:val="center"/>
            <w:tcMar>
              <w:top w:w="80" w:type="dxa"/>
              <w:start w:w="120" w:type="dxa"/>
              <w:bottom w:w="80" w:type="dxa"/>
              <w:end w:w="120" w:type="dxa"/>
            </w:tcMar>
          </w:tcPr>
          <w:p>
            <w:pPr>
              <w:spacing w:after="0" w:line="259" w:lineRule="auto"/>
            </w:pPr>
            <w:r>
              <w:rPr>
                <w:rFonts w:ascii="Calibri" w:hAnsi="Calibri"/>
                <w:color w:val="243447"/>
                <w:sz w:val="19"/>
              </w:rPr>
              <w:t>2.0-3.0 QA days</w:t>
            </w:r>
          </w:p>
        </w:tc>
        <w:tc>
          <w:tcPr>
            <w:tcW w:type="dxa" w:w="900"/>
            <w:vAlign w:val="center"/>
            <w:tcMar>
              <w:top w:w="80" w:type="dxa"/>
              <w:start w:w="120" w:type="dxa"/>
              <w:bottom w:w="80" w:type="dxa"/>
              <w:end w:w="120" w:type="dxa"/>
            </w:tcMar>
          </w:tcPr>
          <w:p>
            <w:pPr>
              <w:spacing w:after="0" w:line="259" w:lineRule="auto"/>
            </w:pPr>
            <w:r>
              <w:rPr>
                <w:rFonts w:ascii="Calibri" w:hAnsi="Calibri"/>
                <w:color w:val="243447"/>
                <w:sz w:val="19"/>
              </w:rPr>
              <w:t>16-24</w:t>
            </w:r>
          </w:p>
        </w:tc>
        <w:tc>
          <w:tcPr>
            <w:tcW w:type="dxa" w:w="3860"/>
            <w:vAlign w:val="center"/>
            <w:tcMar>
              <w:top w:w="80" w:type="dxa"/>
              <w:start w:w="120" w:type="dxa"/>
              <w:bottom w:w="80" w:type="dxa"/>
              <w:end w:w="120" w:type="dxa"/>
            </w:tcMar>
          </w:tcPr>
          <w:p>
            <w:pPr>
              <w:spacing w:after="0" w:line="259" w:lineRule="auto"/>
            </w:pPr>
            <w:r>
              <w:rPr>
                <w:rFonts w:ascii="Calibri" w:hAnsi="Calibri"/>
                <w:color w:val="243447"/>
                <w:sz w:val="19"/>
              </w:rPr>
              <w:t>Cross-role/module verification and sign-off.</w:t>
            </w:r>
          </w:p>
        </w:tc>
      </w:tr>
    </w:tbl>
    <w:p>
      <w:pPr>
        <w:spacing w:after="0"/>
      </w:pPr>
    </w:p>
    <w:p>
      <w:pPr>
        <w:pStyle w:val="Heading2"/>
      </w:pPr>
      <w:r>
        <w:t>13.1 Scope options</w:t>
      </w:r>
    </w:p>
    <w:tbl>
      <w:tblPr>
        <w:tblStyle w:val="TableGrid"/>
        <w:tblW w:type="dxa" w:w="9360"/>
        <w:jc w:val="left"/>
        <w:tblLayout w:type="fixed"/>
        <w:tblLook w:firstColumn="1" w:firstRow="1" w:lastColumn="0" w:lastRow="0" w:noHBand="0" w:noVBand="1" w:val="04A0"/>
        <w:tblInd w:w="120" w:type="dxa"/>
      </w:tblPr>
      <w:tblGrid>
        <w:gridCol w:w="1500"/>
        <w:gridCol w:w="3600"/>
        <w:gridCol w:w="2100"/>
        <w:gridCol w:w="2160"/>
      </w:tblGrid>
      <w:tr>
        <w:trPr>
          <w:tblHeader w:val="true"/>
          <w:cantSplit/>
        </w:trPr>
        <w:tc>
          <w:tcPr>
            <w:tcW w:type="dxa" w:w="1500"/>
            <w:shd w:fill="F2F4F7"/>
            <w:vAlign w:val="center"/>
            <w:tcMar>
              <w:top w:w="80" w:type="dxa"/>
              <w:start w:w="120" w:type="dxa"/>
              <w:bottom w:w="80" w:type="dxa"/>
              <w:end w:w="120" w:type="dxa"/>
            </w:tcMar>
          </w:tcPr>
          <w:p>
            <w:pPr>
              <w:spacing w:after="0"/>
            </w:pPr>
            <w:r>
              <w:rPr>
                <w:rFonts w:ascii="Calibri" w:hAnsi="Calibri"/>
                <w:b/>
                <w:color w:val="243447"/>
                <w:sz w:val="20"/>
              </w:rPr>
              <w:t>Option</w:t>
            </w:r>
          </w:p>
        </w:tc>
        <w:tc>
          <w:tcPr>
            <w:tcW w:type="dxa" w:w="3600"/>
            <w:shd w:fill="F2F4F7"/>
            <w:vAlign w:val="center"/>
            <w:tcMar>
              <w:top w:w="80" w:type="dxa"/>
              <w:start w:w="120" w:type="dxa"/>
              <w:bottom w:w="80" w:type="dxa"/>
              <w:end w:w="120" w:type="dxa"/>
            </w:tcMar>
          </w:tcPr>
          <w:p>
            <w:pPr>
              <w:spacing w:after="0"/>
            </w:pPr>
            <w:r>
              <w:rPr>
                <w:rFonts w:ascii="Calibri" w:hAnsi="Calibri"/>
                <w:b/>
                <w:color w:val="243447"/>
                <w:sz w:val="20"/>
              </w:rPr>
              <w:t>Scope</w:t>
            </w:r>
          </w:p>
        </w:tc>
        <w:tc>
          <w:tcPr>
            <w:tcW w:type="dxa" w:w="2100"/>
            <w:shd w:fill="F2F4F7"/>
            <w:vAlign w:val="center"/>
            <w:tcMar>
              <w:top w:w="80" w:type="dxa"/>
              <w:start w:w="120" w:type="dxa"/>
              <w:bottom w:w="80" w:type="dxa"/>
              <w:end w:w="120" w:type="dxa"/>
            </w:tcMar>
          </w:tcPr>
          <w:p>
            <w:pPr>
              <w:spacing w:after="0"/>
            </w:pPr>
            <w:r>
              <w:rPr>
                <w:rFonts w:ascii="Calibri" w:hAnsi="Calibri"/>
                <w:b/>
                <w:color w:val="243447"/>
                <w:sz w:val="20"/>
              </w:rPr>
              <w:t>Estimate</w:t>
            </w:r>
          </w:p>
        </w:tc>
        <w:tc>
          <w:tcPr>
            <w:tcW w:type="dxa" w:w="2160"/>
            <w:shd w:fill="F2F4F7"/>
            <w:vAlign w:val="center"/>
            <w:tcMar>
              <w:top w:w="80" w:type="dxa"/>
              <w:start w:w="120" w:type="dxa"/>
              <w:bottom w:w="80" w:type="dxa"/>
              <w:end w:w="120" w:type="dxa"/>
            </w:tcMar>
          </w:tcPr>
          <w:p>
            <w:pPr>
              <w:spacing w:after="0"/>
            </w:pPr>
            <w:r>
              <w:rPr>
                <w:rFonts w:ascii="Calibri" w:hAnsi="Calibri"/>
                <w:b/>
                <w:color w:val="243447"/>
                <w:sz w:val="20"/>
              </w:rPr>
              <w:t>Trade-off</w:t>
            </w:r>
          </w:p>
        </w:tc>
      </w:tr>
      <w:tr>
        <w:trPr>
          <w:cantSplit/>
        </w:trPr>
        <w:tc>
          <w:tcPr>
            <w:tcW w:type="dxa" w:w="1500"/>
            <w:vAlign w:val="center"/>
            <w:tcMar>
              <w:top w:w="80" w:type="dxa"/>
              <w:start w:w="120" w:type="dxa"/>
              <w:bottom w:w="80" w:type="dxa"/>
              <w:end w:w="120" w:type="dxa"/>
            </w:tcMar>
          </w:tcPr>
          <w:p>
            <w:pPr>
              <w:spacing w:after="0" w:line="259" w:lineRule="auto"/>
            </w:pPr>
            <w:r>
              <w:rPr>
                <w:rFonts w:ascii="Calibri" w:hAnsi="Calibri"/>
                <w:color w:val="243447"/>
                <w:sz w:val="19"/>
              </w:rPr>
              <w:t>Minimum</w:t>
            </w:r>
          </w:p>
        </w:tc>
        <w:tc>
          <w:tcPr>
            <w:tcW w:type="dxa" w:w="3600"/>
            <w:vAlign w:val="center"/>
            <w:tcMar>
              <w:top w:w="80" w:type="dxa"/>
              <w:start w:w="120" w:type="dxa"/>
              <w:bottom w:w="80" w:type="dxa"/>
              <w:end w:w="120" w:type="dxa"/>
            </w:tcMar>
          </w:tcPr>
          <w:p>
            <w:pPr>
              <w:spacing w:after="0" w:line="259" w:lineRule="auto"/>
            </w:pPr>
            <w:r>
              <w:rPr>
                <w:rFonts w:ascii="Calibri" w:hAnsi="Calibri"/>
                <w:color w:val="243447"/>
                <w:sz w:val="19"/>
              </w:rPr>
              <w:t>Shared frontend behavior and representative forms only.</w:t>
            </w:r>
          </w:p>
        </w:tc>
        <w:tc>
          <w:tcPr>
            <w:tcW w:type="dxa" w:w="2100"/>
            <w:vAlign w:val="center"/>
            <w:tcMar>
              <w:top w:w="80" w:type="dxa"/>
              <w:start w:w="120" w:type="dxa"/>
              <w:bottom w:w="80" w:type="dxa"/>
              <w:end w:w="120" w:type="dxa"/>
            </w:tcMar>
          </w:tcPr>
          <w:p>
            <w:pPr>
              <w:spacing w:after="0" w:line="259" w:lineRule="auto"/>
            </w:pPr>
            <w:r>
              <w:rPr>
                <w:rFonts w:ascii="Calibri" w:hAnsi="Calibri"/>
                <w:color w:val="243447"/>
                <w:sz w:val="19"/>
              </w:rPr>
              <w:t>3-5 engineer days + 1-2 QA days</w:t>
            </w:r>
          </w:p>
        </w:tc>
        <w:tc>
          <w:tcPr>
            <w:tcW w:type="dxa" w:w="2160"/>
            <w:vAlign w:val="center"/>
            <w:tcMar>
              <w:top w:w="80" w:type="dxa"/>
              <w:start w:w="120" w:type="dxa"/>
              <w:bottom w:w="80" w:type="dxa"/>
              <w:end w:w="120" w:type="dxa"/>
            </w:tcMar>
          </w:tcPr>
          <w:p>
            <w:pPr>
              <w:spacing w:after="0" w:line="259" w:lineRule="auto"/>
            </w:pPr>
            <w:r>
              <w:rPr>
                <w:rFonts w:ascii="Calibri" w:hAnsi="Calibri"/>
                <w:color w:val="243447"/>
                <w:sz w:val="19"/>
              </w:rPr>
              <w:t>Faster, but leaves backend and legacy AJAX risk.</w:t>
            </w:r>
          </w:p>
        </w:tc>
      </w:tr>
      <w:tr>
        <w:trPr>
          <w:cantSplit/>
        </w:trPr>
        <w:tc>
          <w:tcPr>
            <w:tcW w:type="dxa" w:w="1500"/>
            <w:vAlign w:val="center"/>
            <w:tcMar>
              <w:top w:w="80" w:type="dxa"/>
              <w:start w:w="120" w:type="dxa"/>
              <w:bottom w:w="80" w:type="dxa"/>
              <w:end w:w="120" w:type="dxa"/>
            </w:tcMar>
          </w:tcPr>
          <w:p>
            <w:pPr>
              <w:spacing w:after="0" w:line="259" w:lineRule="auto"/>
            </w:pPr>
            <w:r>
              <w:rPr>
                <w:rFonts w:ascii="Calibri" w:hAnsi="Calibri"/>
                <w:color w:val="243447"/>
                <w:sz w:val="19"/>
              </w:rPr>
              <w:t>Recommended</w:t>
            </w:r>
          </w:p>
        </w:tc>
        <w:tc>
          <w:tcPr>
            <w:tcW w:type="dxa" w:w="3600"/>
            <w:vAlign w:val="center"/>
            <w:tcMar>
              <w:top w:w="80" w:type="dxa"/>
              <w:start w:w="120" w:type="dxa"/>
              <w:bottom w:w="80" w:type="dxa"/>
              <w:end w:w="120" w:type="dxa"/>
            </w:tcMar>
          </w:tcPr>
          <w:p>
            <w:pPr>
              <w:spacing w:after="0" w:line="259" w:lineRule="auto"/>
            </w:pPr>
            <w:r>
              <w:rPr>
                <w:rFonts w:ascii="Calibri" w:hAnsi="Calibri"/>
                <w:color w:val="243447"/>
                <w:sz w:val="19"/>
              </w:rPr>
              <w:t>Shared foundation, high-risk AJAX/Fetch actions, backend safeguards, and regression coverage.</w:t>
            </w:r>
          </w:p>
        </w:tc>
        <w:tc>
          <w:tcPr>
            <w:tcW w:type="dxa" w:w="2100"/>
            <w:vAlign w:val="center"/>
            <w:tcMar>
              <w:top w:w="80" w:type="dxa"/>
              <w:start w:w="120" w:type="dxa"/>
              <w:bottom w:w="80" w:type="dxa"/>
              <w:end w:w="120" w:type="dxa"/>
            </w:tcMar>
          </w:tcPr>
          <w:p>
            <w:pPr>
              <w:spacing w:after="0" w:line="259" w:lineRule="auto"/>
            </w:pPr>
            <w:r>
              <w:rPr>
                <w:rFonts w:ascii="Calibri" w:hAnsi="Calibri"/>
                <w:color w:val="243447"/>
                <w:sz w:val="19"/>
              </w:rPr>
              <w:t>7.5-12 engineer days + 2-3 QA days</w:t>
            </w:r>
          </w:p>
        </w:tc>
        <w:tc>
          <w:tcPr>
            <w:tcW w:type="dxa" w:w="2160"/>
            <w:vAlign w:val="center"/>
            <w:tcMar>
              <w:top w:w="80" w:type="dxa"/>
              <w:start w:w="120" w:type="dxa"/>
              <w:bottom w:w="80" w:type="dxa"/>
              <w:end w:w="120" w:type="dxa"/>
            </w:tcMar>
          </w:tcPr>
          <w:p>
            <w:pPr>
              <w:spacing w:after="0" w:line="259" w:lineRule="auto"/>
            </w:pPr>
            <w:r>
              <w:rPr>
                <w:rFonts w:ascii="Calibri" w:hAnsi="Calibri"/>
                <w:color w:val="243447"/>
                <w:sz w:val="19"/>
              </w:rPr>
              <w:t>Best balance of safety and maintainability.</w:t>
            </w:r>
          </w:p>
        </w:tc>
      </w:tr>
      <w:tr>
        <w:trPr>
          <w:cantSplit/>
        </w:trPr>
        <w:tc>
          <w:tcPr>
            <w:tcW w:type="dxa" w:w="1500"/>
            <w:vAlign w:val="center"/>
            <w:tcMar>
              <w:top w:w="80" w:type="dxa"/>
              <w:start w:w="120" w:type="dxa"/>
              <w:bottom w:w="80" w:type="dxa"/>
              <w:end w:w="120" w:type="dxa"/>
            </w:tcMar>
          </w:tcPr>
          <w:p>
            <w:pPr>
              <w:spacing w:after="0" w:line="259" w:lineRule="auto"/>
            </w:pPr>
            <w:r>
              <w:rPr>
                <w:rFonts w:ascii="Calibri" w:hAnsi="Calibri"/>
                <w:color w:val="243447"/>
                <w:sz w:val="19"/>
              </w:rPr>
              <w:t>Full exhaustive sweep</w:t>
            </w:r>
          </w:p>
        </w:tc>
        <w:tc>
          <w:tcPr>
            <w:tcW w:type="dxa" w:w="3600"/>
            <w:vAlign w:val="center"/>
            <w:tcMar>
              <w:top w:w="80" w:type="dxa"/>
              <w:start w:w="120" w:type="dxa"/>
              <w:bottom w:w="80" w:type="dxa"/>
              <w:end w:w="120" w:type="dxa"/>
            </w:tcMar>
          </w:tcPr>
          <w:p>
            <w:pPr>
              <w:spacing w:after="0" w:line="259" w:lineRule="auto"/>
            </w:pPr>
            <w:r>
              <w:rPr>
                <w:rFonts w:ascii="Calibri" w:hAnsi="Calibri"/>
                <w:color w:val="243447"/>
                <w:sz w:val="19"/>
              </w:rPr>
              <w:t>Every form, AJAX action, map control, export, and legacy exception individually reviewed.</w:t>
            </w:r>
          </w:p>
        </w:tc>
        <w:tc>
          <w:tcPr>
            <w:tcW w:type="dxa" w:w="2100"/>
            <w:vAlign w:val="center"/>
            <w:tcMar>
              <w:top w:w="80" w:type="dxa"/>
              <w:start w:w="120" w:type="dxa"/>
              <w:bottom w:w="80" w:type="dxa"/>
              <w:end w:w="120" w:type="dxa"/>
            </w:tcMar>
          </w:tcPr>
          <w:p>
            <w:pPr>
              <w:spacing w:after="0" w:line="259" w:lineRule="auto"/>
            </w:pPr>
            <w:r>
              <w:rPr>
                <w:rFonts w:ascii="Calibri" w:hAnsi="Calibri"/>
                <w:color w:val="243447"/>
                <w:sz w:val="19"/>
              </w:rPr>
              <w:t>12-18 engineer days + 4-5 QA days</w:t>
            </w:r>
          </w:p>
        </w:tc>
        <w:tc>
          <w:tcPr>
            <w:tcW w:type="dxa" w:w="2160"/>
            <w:vAlign w:val="center"/>
            <w:tcMar>
              <w:top w:w="80" w:type="dxa"/>
              <w:start w:w="120" w:type="dxa"/>
              <w:bottom w:w="80" w:type="dxa"/>
              <w:end w:w="120" w:type="dxa"/>
            </w:tcMar>
          </w:tcPr>
          <w:p>
            <w:pPr>
              <w:spacing w:after="0" w:line="259" w:lineRule="auto"/>
            </w:pPr>
            <w:r>
              <w:rPr>
                <w:rFonts w:ascii="Calibri" w:hAnsi="Calibri"/>
                <w:color w:val="243447"/>
                <w:sz w:val="19"/>
              </w:rPr>
              <w:t>Highest coverage; schedule depends heavily on discovered exceptions.</w:t>
            </w:r>
          </w:p>
        </w:tc>
      </w:tr>
    </w:tbl>
    <w:p>
      <w:pPr>
        <w:spacing w:after="0"/>
      </w:pPr>
    </w:p>
    <w:p>
      <w:pPr>
        <w:pStyle w:val="Heading2"/>
      </w:pPr>
      <w:r>
        <w:t>13.2 Suggested calendar</w:t>
      </w:r>
    </w:p>
    <w:p>
      <w:pPr>
        <w:numPr>
          <w:ilvl w:val="0"/>
          <w:numId w:val="10"/>
        </w:numPr>
      </w:pPr>
      <w:r>
        <w:rPr>
          <w:rFonts w:ascii="Calibri" w:hAnsi="Calibri"/>
          <w:color w:val="243447"/>
          <w:sz w:val="22"/>
        </w:rPr>
        <w:t>Week 1: design confirmation, shared foundation, standard form protection, accessibility, and initial developer tests.</w:t>
      </w:r>
    </w:p>
    <w:p>
      <w:pPr>
        <w:numPr>
          <w:ilvl w:val="0"/>
          <w:numId w:val="10"/>
        </w:numPr>
      </w:pPr>
      <w:r>
        <w:rPr>
          <w:rFonts w:ascii="Calibri" w:hAnsi="Calibri"/>
          <w:color w:val="243447"/>
          <w:sz w:val="22"/>
        </w:rPr>
        <w:t>Week 2: high-risk AJAX/Fetch workflows, backend safeguards, endpoint corrections, and module-level QA.</w:t>
      </w:r>
    </w:p>
    <w:p>
      <w:pPr>
        <w:numPr>
          <w:ilvl w:val="0"/>
          <w:numId w:val="10"/>
        </w:numPr>
      </w:pPr>
      <w:r>
        <w:rPr>
          <w:rFonts w:ascii="Calibri" w:hAnsi="Calibri"/>
          <w:color w:val="243447"/>
          <w:sz w:val="22"/>
        </w:rPr>
        <w:t>Week 3 contingency: map/concurrency edge cases, regression fixes, UAT, documentation, and final sign-off.</w:t>
      </w:r>
    </w:p>
    <w:p>
      <w:pPr>
        <w:pStyle w:val="Heading2"/>
      </w:pPr>
      <w:r>
        <w:t>13.3 Estimate assumptions</w:t>
      </w:r>
    </w:p>
    <w:p>
      <w:pPr>
        <w:numPr>
          <w:ilvl w:val="0"/>
          <w:numId w:val="10"/>
        </w:numPr>
      </w:pPr>
      <w:r>
        <w:rPr>
          <w:rFonts w:ascii="Calibri" w:hAnsi="Calibri"/>
          <w:color w:val="243447"/>
          <w:sz w:val="22"/>
        </w:rPr>
        <w:t>The existing Laravel/Blade, jQuery, Bootstrap, and AdminLTE architecture remains unchanged.</w:t>
      </w:r>
    </w:p>
    <w:p>
      <w:pPr>
        <w:numPr>
          <w:ilvl w:val="0"/>
          <w:numId w:val="10"/>
        </w:numPr>
      </w:pPr>
      <w:r>
        <w:rPr>
          <w:rFonts w:ascii="Calibri" w:hAnsi="Calibri"/>
          <w:color w:val="243447"/>
          <w:sz w:val="22"/>
        </w:rPr>
        <w:t>No broad redesign of forms, maps, or business workflows is included.</w:t>
      </w:r>
    </w:p>
    <w:p>
      <w:pPr>
        <w:numPr>
          <w:ilvl w:val="0"/>
          <w:numId w:val="10"/>
        </w:numPr>
      </w:pPr>
      <w:r>
        <w:rPr>
          <w:rFonts w:ascii="Calibri" w:hAnsi="Calibri"/>
          <w:color w:val="243447"/>
          <w:sz w:val="22"/>
        </w:rPr>
        <w:t>Team leads and PM identify critical operations that require strict idempotency or state-transition protection.</w:t>
      </w:r>
    </w:p>
    <w:p>
      <w:pPr>
        <w:numPr>
          <w:ilvl w:val="0"/>
          <w:numId w:val="10"/>
        </w:numPr>
      </w:pPr>
      <w:r>
        <w:rPr>
          <w:rFonts w:ascii="Calibri" w:hAnsi="Calibri"/>
          <w:color w:val="243447"/>
          <w:sz w:val="22"/>
        </w:rPr>
        <w:t>QA has representative user roles, modules, and test data available.</w:t>
      </w:r>
    </w:p>
    <w:p>
      <w:pPr>
        <w:numPr>
          <w:ilvl w:val="0"/>
          <w:numId w:val="10"/>
        </w:numPr>
      </w:pPr>
      <w:r>
        <w:rPr>
          <w:rFonts w:ascii="Calibri" w:hAnsi="Calibri"/>
          <w:color w:val="243447"/>
          <w:sz w:val="22"/>
        </w:rPr>
        <w:t>No major third-party integration or environment issue is discovered during implementation.</w:t>
      </w:r>
    </w:p>
    <w:p>
      <w:pPr>
        <w:pStyle w:val="Heading2"/>
      </w:pPr>
      <w:r>
        <w:t>13.4 Estimate confidence</w:t>
      </w:r>
    </w:p>
    <w:p>
      <w:pPr>
        <w:spacing w:after="120" w:line="264" w:lineRule="auto"/>
      </w:pPr>
      <w:r>
        <w:rPr>
          <w:rFonts w:ascii="Calibri" w:hAnsi="Calibri"/>
          <w:color w:val="243447"/>
          <w:sz w:val="22"/>
        </w:rPr>
        <w:t>Confidence is medium. Shared layouts reduce foundation effort, but page-local asynchronous handlers and map concurrency increase integration uncertainty. The largest schedule variables are backend idempotency requirements, legacy handler conflicts, mutation-through-GET remediation, and the breadth of role-specific regression testing.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IMIS REVAMP  |  IMPLEMENTATION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ISCallout">
    <w:name w:val="IMIS Callout"/>
    <w:basedOn w:val="Normal"/>
    <w:pPr>
      <w:spacing w:before="160" w:after="200" w:line="264" w:lineRule="auto"/>
      <w:ind w:left="259" w:righ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IMIS Revamp Loading and Duplicate-Action Prevention Handoff</dc:title>
  <dc:subject>Implementation, QA, and estimation handoff for Jira BASEIMIS-14</dc:subject>
  <dc:creator>IMIS Revamp Project Team</dc:creator>
  <cp:keywords>IMIS, loading state, duplicate submission, Jira, QA</cp:keywords>
  <dc:description>generated by python-docx</dc:description>
  <cp:lastModifiedBy/>
  <cp:revision>1</cp:revision>
  <dcterms:created xsi:type="dcterms:W3CDTF">2013-12-23T23:15:00Z</dcterms:created>
  <dcterms:modified xsi:type="dcterms:W3CDTF">2013-12-23T23:15:00Z</dcterms:modified>
  <cp:category/>
</cp:coreProperties>
</file>