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200" w:line="600" w:lineRule="auto"/>
        <w:ind w:left="-540" w:right="-9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4848225</wp:posOffset>
            </wp:positionH>
            <wp:positionV relativeFrom="paragraph">
              <wp:posOffset>114300</wp:posOffset>
            </wp:positionV>
            <wp:extent cx="1906643" cy="151923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6562" l="44391" r="15384" t="6448"/>
                    <a:stretch>
                      <a:fillRect/>
                    </a:stretch>
                  </pic:blipFill>
                  <pic:spPr>
                    <a:xfrm>
                      <a:off x="0" y="0"/>
                      <a:ext cx="1906643" cy="1519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-952499</wp:posOffset>
            </wp:positionH>
            <wp:positionV relativeFrom="paragraph">
              <wp:posOffset>114300</wp:posOffset>
            </wp:positionV>
            <wp:extent cx="1743075" cy="152400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4068" l="8792" r="54402" t="894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shd w:fill="ffffff" w:val="clear"/>
        <w:spacing w:after="0" w:before="200" w:line="600" w:lineRule="auto"/>
        <w:ind w:left="-540" w:right="-9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hd w:fill="ffffff" w:val="clear"/>
        <w:spacing w:after="0" w:before="200" w:line="600" w:lineRule="auto"/>
        <w:ind w:left="-540" w:right="-9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200" w:line="600" w:lineRule="auto"/>
        <w:ind w:left="1620" w:right="-900" w:firstLine="0"/>
        <w:jc w:val="left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Digital Egypt Pioneers Initiative - DEPI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600" w:lineRule="auto"/>
        <w:ind w:left="-90" w:firstLine="0"/>
        <w:jc w:val="center"/>
        <w:rPr>
          <w:rFonts w:ascii="Montserrat" w:cs="Montserrat" w:eastAsia="Montserrat" w:hAnsi="Montserrat"/>
          <w:b w:val="1"/>
          <w:color w:val="45818e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Electricity Group 2 (</w:t>
      </w:r>
      <w:r w:rsidDel="00000000" w:rsidR="00000000" w:rsidRPr="00000000">
        <w:rPr>
          <w:rFonts w:ascii="Montserrat" w:cs="Montserrat" w:eastAsia="Montserrat" w:hAnsi="Montserrat"/>
          <w:b w:val="1"/>
          <w:color w:val="45818e"/>
          <w:sz w:val="30"/>
          <w:szCs w:val="30"/>
          <w:shd w:fill="auto" w:val="clear"/>
          <w:rtl w:val="0"/>
        </w:rPr>
        <w:t xml:space="preserve">Eng. Sherihan Ali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600" w:lineRule="auto"/>
        <w:ind w:left="-540" w:right="-18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4"/>
          <w:szCs w:val="34"/>
          <w:shd w:fill="auto" w:val="clear"/>
          <w:rtl w:val="0"/>
        </w:rPr>
        <w:t xml:space="preserve">Project Administrators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Abdelrahman Adel Ahmed</w:t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Nada Mahmoud Hamed</w:t>
      </w:r>
    </w:p>
    <w:p w:rsidR="00000000" w:rsidDel="00000000" w:rsidP="00000000" w:rsidRDefault="00000000" w:rsidRPr="00000000" w14:paraId="00000009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Ahmad Frhat Mohamad</w:t>
      </w:r>
    </w:p>
    <w:p w:rsidR="00000000" w:rsidDel="00000000" w:rsidP="00000000" w:rsidRDefault="00000000" w:rsidRPr="00000000" w14:paraId="0000000A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Bassem Amr Mohamed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Hady Mohamed Kamel</w:t>
      </w:r>
    </w:p>
    <w:p w:rsidR="00000000" w:rsidDel="00000000" w:rsidP="00000000" w:rsidRDefault="00000000" w:rsidRPr="00000000" w14:paraId="0000000C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Islam Mohamed Sayed</w:t>
      </w:r>
    </w:p>
    <w:p w:rsidR="00000000" w:rsidDel="00000000" w:rsidP="00000000" w:rsidRDefault="00000000" w:rsidRPr="00000000" w14:paraId="0000000D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Aya Mohamed Khamis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-540" w:right="-180" w:firstLine="0"/>
        <w:jc w:val="center"/>
        <w:rPr>
          <w:rFonts w:ascii="Montserrat" w:cs="Montserrat" w:eastAsia="Montserrat" w:hAnsi="Montserrat"/>
          <w:b w:val="1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-540" w:right="-180" w:firstLine="0"/>
        <w:jc w:val="center"/>
        <w:rPr>
          <w:rFonts w:ascii="Montserrat" w:cs="Montserrat" w:eastAsia="Montserrat" w:hAnsi="Montserrat"/>
          <w:b w:val="1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-540" w:right="-180" w:firstLine="0"/>
        <w:jc w:val="center"/>
        <w:rPr>
          <w:rFonts w:ascii="Montserrat" w:cs="Montserrat" w:eastAsia="Montserrat" w:hAnsi="Montserrat"/>
          <w:b w:val="1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rFonts w:ascii="Montserrat" w:cs="Montserrat" w:eastAsia="Montserrat" w:hAnsi="Montserrat"/>
          <w:b w:val="1"/>
          <w:color w:val="45818e"/>
          <w:sz w:val="28"/>
          <w:szCs w:val="28"/>
        </w:rPr>
      </w:pPr>
      <w:bookmarkStart w:colFirst="0" w:colLast="0" w:name="_r1qhliw948rg" w:id="0"/>
      <w:bookmarkEnd w:id="0"/>
      <w:r w:rsidDel="00000000" w:rsidR="00000000" w:rsidRPr="00000000">
        <w:rPr>
          <w:rtl w:val="0"/>
        </w:rPr>
        <w:t xml:space="preserve">Assumptions and Remarks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  <w:color w:val="38761d"/>
          <w:sz w:val="30"/>
          <w:szCs w:val="30"/>
        </w:rPr>
      </w:pPr>
      <w:bookmarkStart w:colFirst="0" w:colLast="0" w:name="_4vn3csnsyvwc" w:id="1"/>
      <w:bookmarkEnd w:id="1"/>
      <w:r w:rsidDel="00000000" w:rsidR="00000000" w:rsidRPr="00000000">
        <w:rPr>
          <w:rtl w:val="0"/>
        </w:rPr>
        <w:t xml:space="preserve">Date and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The time </w:t>
      </w:r>
      <w:r w:rsidDel="00000000" w:rsidR="00000000" w:rsidRPr="00000000">
        <w:rPr>
          <w:b w:val="1"/>
          <w:rtl w:val="0"/>
        </w:rPr>
        <w:t xml:space="preserve">5:78 PM</w:t>
      </w:r>
      <w:r w:rsidDel="00000000" w:rsidR="00000000" w:rsidRPr="00000000">
        <w:rPr>
          <w:rtl w:val="0"/>
        </w:rPr>
        <w:t xml:space="preserve"> in the 2005 sheet </w:t>
      </w:r>
      <w:r w:rsidDel="00000000" w:rsidR="00000000" w:rsidRPr="00000000">
        <w:rPr>
          <w:rtl w:val="0"/>
        </w:rPr>
        <w:t xml:space="preserve">was identified as a typographical error. This occurred due to the proximity of the numbers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on the keyboard, leading to an incorrect entry.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Converted the day's events: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Evening: 6:00 PM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Noon: 12:00 PM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Midnight: 12:00 AM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cases where the date and time of restoration are </w:t>
      </w:r>
      <w:r w:rsidDel="00000000" w:rsidR="00000000" w:rsidRPr="00000000">
        <w:rPr>
          <w:rtl w:val="0"/>
        </w:rPr>
        <w:t xml:space="preserve">unknown </w:t>
      </w:r>
      <w:r w:rsidDel="00000000" w:rsidR="00000000" w:rsidRPr="00000000">
        <w:rPr>
          <w:rtl w:val="0"/>
        </w:rPr>
        <w:t xml:space="preserve">and the Demand Loss (MW) is recorded as </w:t>
      </w:r>
      <w:r w:rsidDel="00000000" w:rsidR="00000000" w:rsidRPr="00000000">
        <w:rPr>
          <w:rtl w:val="0"/>
        </w:rPr>
        <w:t xml:space="preserve">zero</w:t>
      </w:r>
      <w:r w:rsidDel="00000000" w:rsidR="00000000" w:rsidRPr="00000000">
        <w:rPr>
          <w:rtl w:val="0"/>
        </w:rPr>
        <w:t xml:space="preserve">, we assumed that the electric current was restored simultaneously. Therefore, the date and time of restoration will be considered the same as the recorded time and date of return.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ig4n8fu786uu" w:id="2"/>
      <w:bookmarkEnd w:id="2"/>
      <w:r w:rsidDel="00000000" w:rsidR="00000000" w:rsidRPr="00000000">
        <w:rPr>
          <w:rtl w:val="0"/>
        </w:rPr>
        <w:t xml:space="preserve">Data Status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input is considered faulty if the power outage duration exceeds one hour and the Demand Loss (MW) is recorded as zero.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the Number of Customers Affected and Demand Loss (MW), the event start date, and the restoration date are NULLs, the data is considered anonymous.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the Number of Customers Affected, Demand Loss (MW), Duration Time, and NERC Region are NULLs, the data is considered Full Data.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Otherwise, It is considered Fair Data.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cvru3uod9fcx" w:id="3"/>
      <w:bookmarkEnd w:id="3"/>
      <w:r w:rsidDel="00000000" w:rsidR="00000000" w:rsidRPr="00000000">
        <w:rPr>
          <w:rtl w:val="0"/>
        </w:rPr>
        <w:t xml:space="preserve">Demand Loss (MW)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 assumed that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is equivalent to </w:t>
      </w:r>
      <w:r w:rsidDel="00000000" w:rsidR="00000000" w:rsidRPr="00000000">
        <w:rPr>
          <w:b w:val="1"/>
          <w:rtl w:val="0"/>
        </w:rPr>
        <w:t xml:space="preserve">zero</w:t>
      </w:r>
      <w:r w:rsidDel="00000000" w:rsidR="00000000" w:rsidRPr="00000000">
        <w:rPr>
          <w:rtl w:val="0"/>
        </w:rPr>
        <w:t xml:space="preserve"> during data processing.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(PG&amp;E) values: Assumptions used in calculating the impact of power outages: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household consumption: Assumes each household consumes 1.2 kWh per hour according to official data of NERC.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Outage duration: Calculated as the difference (in hours) between the Time Event Began and the Time of Restoration.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individuals per household: Assumed to be 3 individuals per household.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 energy distribution: The lost energy is assumed to be distributed equally among the affected households.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 used AI to help us get the Demand Loss value for these two records: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133 on 5/21/04 between 3:00 a.m. and 4:00 a.m., 392 on 5/21/04 between 4:00 p.m. and 5:00 p.m.</w:t>
        <w:tab/>
        <w:tab/>
        <w:t xml:space="preserve">  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177 on 5/21/04 between 3:00 p.m. and 5:00 p.m.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Using the following assumptions that it gave to us: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 loss during the specified time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total_loss = loss_3_to_4_am + loss_4_to_5_pm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the remaining hours have a similar loss (average of the known periods)     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remaining_hours = duration_hours – 2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Subtract the two known periods 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average_loss = total_loss / 2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loss of the two known periods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energy lost total_energy_lost = total_loss + (remaining_hours * average_loss)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So the results are: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1st record’s total_energy_lost = 18,375 MW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2nd record’s total_energy_lost =  6,195 MW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there was a peak value and an accumulated value, we took the peak value.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ufcyjxlga4ba" w:id="4"/>
      <w:bookmarkEnd w:id="4"/>
      <w:r w:rsidDel="00000000" w:rsidR="00000000" w:rsidRPr="00000000">
        <w:rPr>
          <w:rtl w:val="0"/>
        </w:rPr>
        <w:t xml:space="preserve">Event Type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 the 2023 sheet, the most recently updated file for all sheets, we noted that </w:t>
      </w:r>
      <w:r w:rsidDel="00000000" w:rsidR="00000000" w:rsidRPr="00000000">
        <w:rPr>
          <w:b w:val="1"/>
          <w:rtl w:val="0"/>
        </w:rPr>
        <w:t xml:space="preserve">"Public Appeal"</w:t>
      </w:r>
      <w:r w:rsidDel="00000000" w:rsidR="00000000" w:rsidRPr="00000000">
        <w:rPr>
          <w:rtl w:val="0"/>
        </w:rPr>
        <w:t xml:space="preserve"> refers to </w:t>
      </w:r>
      <w:r w:rsidDel="00000000" w:rsidR="00000000" w:rsidRPr="00000000">
        <w:rPr>
          <w:b w:val="1"/>
          <w:rtl w:val="0"/>
        </w:rPr>
        <w:t xml:space="preserve">"Shedding Load".</w:t>
      </w:r>
      <w:r w:rsidDel="00000000" w:rsidR="00000000" w:rsidRPr="00000000">
        <w:rPr>
          <w:rtl w:val="0"/>
        </w:rPr>
        <w:t xml:space="preserve"> Therefore, we considered it equivalent to the previous years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sz w:val="14"/>
          <w:szCs w:val="14"/>
        </w:rPr>
      </w:pPr>
      <w:bookmarkStart w:colFirst="0" w:colLast="0" w:name="_kh7pk8lz6e93" w:id="5"/>
      <w:bookmarkEnd w:id="5"/>
      <w:r w:rsidDel="00000000" w:rsidR="00000000" w:rsidRPr="00000000">
        <w:rPr>
          <w:rtl w:val="0"/>
        </w:rPr>
        <w:t xml:space="preserve">Cleaning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360" w:firstLine="0"/>
        <w:rPr/>
      </w:pPr>
      <w:r w:rsidDel="00000000" w:rsidR="00000000" w:rsidRPr="00000000">
        <w:rPr>
          <w:rtl w:val="0"/>
        </w:rPr>
        <w:t xml:space="preserve">We divided the sheet into groups: </w:t>
      </w:r>
      <w:r w:rsidDel="00000000" w:rsidR="00000000" w:rsidRPr="00000000">
        <w:rPr>
          <w:b w:val="1"/>
          <w:rtl w:val="0"/>
        </w:rPr>
        <w:t xml:space="preserve">2002-2010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2011-2014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2015-2022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  <w:t xml:space="preserve">, ensuring that each group maintains the same structure. After cleaning the date and time columns, we will append these groups into a single query. Subsequent cleaning steps will then be applied.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360" w:firstLine="0"/>
        <w:rPr/>
      </w:pPr>
      <w:r w:rsidDel="00000000" w:rsidR="00000000" w:rsidRPr="00000000">
        <w:rPr>
          <w:rtl w:val="0"/>
        </w:rPr>
        <w:t xml:space="preserve">We added this record manually to the 2003 sheet as it was grouped to another record and deleted while cleaning</w:t>
      </w:r>
    </w:p>
    <w:p w:rsidR="00000000" w:rsidDel="00000000" w:rsidP="00000000" w:rsidRDefault="00000000" w:rsidRPr="00000000" w14:paraId="00000050">
      <w:pPr>
        <w:ind w:left="-360" w:firstLine="0"/>
        <w:jc w:val="left"/>
        <w:rPr/>
      </w:pPr>
      <w:r w:rsidDel="00000000" w:rsidR="00000000" w:rsidRPr="00000000">
        <w:rPr>
          <w:b w:val="1"/>
          <w:rtl w:val="0"/>
        </w:rPr>
        <w:t xml:space="preserve">27|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2/5/2003  SERC  12,897 (Alabama)  8:00 p.m.  Alabama  Severe Thunderstorms  130  12,897 (Alabama)  5/03/03, 8:00 a.m.</w:t>
      </w:r>
    </w:p>
    <w:p w:rsidR="00000000" w:rsidDel="00000000" w:rsidP="00000000" w:rsidRDefault="00000000" w:rsidRPr="00000000" w14:paraId="00000051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360" w:firstLine="0"/>
        <w:rPr/>
      </w:pPr>
      <w:r w:rsidDel="00000000" w:rsidR="00000000" w:rsidRPr="00000000">
        <w:rPr>
          <w:rtl w:val="0"/>
        </w:rPr>
        <w:t xml:space="preserve">We didn’t delete any records except the Blanks Rows and the Duplicated ones which are 15 records so the final total records is </w:t>
      </w:r>
      <w:r w:rsidDel="00000000" w:rsidR="00000000" w:rsidRPr="00000000">
        <w:rPr>
          <w:b w:val="1"/>
          <w:rtl w:val="0"/>
        </w:rPr>
        <w:t xml:space="preserve">3936 </w:t>
      </w:r>
      <w:r w:rsidDel="00000000" w:rsidR="00000000" w:rsidRPr="00000000">
        <w:rPr>
          <w:rtl w:val="0"/>
        </w:rPr>
        <w:t xml:space="preserve">after it was </w:t>
      </w:r>
      <w:r w:rsidDel="00000000" w:rsidR="00000000" w:rsidRPr="00000000">
        <w:rPr>
          <w:b w:val="1"/>
          <w:rtl w:val="0"/>
        </w:rPr>
        <w:t xml:space="preserve">3951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360" w:firstLine="0"/>
        <w:rPr/>
      </w:pPr>
      <w:r w:rsidDel="00000000" w:rsidR="00000000" w:rsidRPr="00000000">
        <w:rPr>
          <w:rtl w:val="0"/>
        </w:rPr>
        <w:t xml:space="preserve">Basic Cleaning Steps for Each Group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90" w:hanging="270"/>
        <w:rPr>
          <w:u w:val="none"/>
        </w:rPr>
      </w:pPr>
      <w:r w:rsidDel="00000000" w:rsidR="00000000" w:rsidRPr="00000000">
        <w:rPr>
          <w:rtl w:val="0"/>
        </w:rPr>
        <w:t xml:space="preserve">Remove Blank Rows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90" w:hanging="270"/>
        <w:rPr>
          <w:u w:val="none"/>
        </w:rPr>
      </w:pPr>
      <w:r w:rsidDel="00000000" w:rsidR="00000000" w:rsidRPr="00000000">
        <w:rPr>
          <w:rtl w:val="0"/>
        </w:rPr>
        <w:t xml:space="preserve">Remove Top Rows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90" w:hanging="270"/>
        <w:rPr>
          <w:u w:val="none"/>
        </w:rPr>
      </w:pPr>
      <w:r w:rsidDel="00000000" w:rsidR="00000000" w:rsidRPr="00000000">
        <w:rPr>
          <w:rtl w:val="0"/>
        </w:rPr>
        <w:t xml:space="preserve">Promote Headers</w:t>
      </w:r>
    </w:p>
    <w:p w:rsidR="00000000" w:rsidDel="00000000" w:rsidP="00000000" w:rsidRDefault="00000000" w:rsidRPr="00000000" w14:paraId="00000058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360" w:firstLine="0"/>
        <w:rPr/>
      </w:pPr>
      <w:r w:rsidDel="00000000" w:rsidR="00000000" w:rsidRPr="00000000">
        <w:rPr>
          <w:rtl w:val="0"/>
        </w:rPr>
        <w:t xml:space="preserve">We utilized functions and custom columns to optimize performance and reduce file load during cleaning. We focused on applying </w:t>
      </w:r>
      <w:r w:rsidDel="00000000" w:rsidR="00000000" w:rsidRPr="00000000">
        <w:rPr>
          <w:b w:val="1"/>
          <w:rtl w:val="0"/>
        </w:rPr>
        <w:t xml:space="preserve">dynamic </w:t>
      </w:r>
      <w:r w:rsidDel="00000000" w:rsidR="00000000" w:rsidRPr="00000000">
        <w:rPr>
          <w:rtl w:val="0"/>
        </w:rPr>
        <w:t xml:space="preserve">changes rather than manual adjustments to streamline the workflow.</w:t>
      </w:r>
    </w:p>
    <w:p w:rsidR="00000000" w:rsidDel="00000000" w:rsidP="00000000" w:rsidRDefault="00000000" w:rsidRPr="00000000" w14:paraId="0000005A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360" w:firstLine="0"/>
        <w:rPr/>
      </w:pPr>
      <w:r w:rsidDel="00000000" w:rsidR="00000000" w:rsidRPr="00000000">
        <w:rPr>
          <w:rtl w:val="0"/>
        </w:rPr>
        <w:t xml:space="preserve">Now, let’s examine what has occurred in each column of the dataset. We will focus on identifying trends, inconsistencies, and any necessary adjustments made during the cleaning process.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z6w2tpastzcm" w:id="6"/>
      <w:bookmarkEnd w:id="6"/>
      <w:r w:rsidDel="00000000" w:rsidR="00000000" w:rsidRPr="00000000">
        <w:rPr>
          <w:rtl w:val="0"/>
        </w:rPr>
        <w:t xml:space="preserve">Date and Time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Replaced wrong data like 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7/01//05 in the 2005 sheet with 1/7/2005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values like "Unknown", "Ongoing", "NA", and "(Trans. Only)" with NULL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Wrong input data like the year 2024 in the Date of Restoration in the beginning data 2006-2010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18/3/2001 and 29/8/2077 in the 2011 sheet with 18/3/2011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bmrm6ju34ez1" w:id="7"/>
      <w:bookmarkEnd w:id="7"/>
      <w:r w:rsidDel="00000000" w:rsidR="00000000" w:rsidRPr="00000000">
        <w:rPr>
          <w:rtl w:val="0"/>
        </w:rPr>
        <w:t xml:space="preserve">Area Affected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When we placed the </w:t>
      </w: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  <w:t xml:space="preserve"> column on a map visualization, we observed that some entries, such as "Eastern Montana" and "Vallee, California," were incorrectly located outside the USA, specifically in Asia and Australia. As a result, we corrected these entries to ensure accurate geographic representation.</w:t>
      </w:r>
    </w:p>
    <w:p w:rsidR="00000000" w:rsidDel="00000000" w:rsidP="00000000" w:rsidRDefault="00000000" w:rsidRPr="00000000" w14:paraId="0000006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9cngjt4gsgiz" w:id="8"/>
      <w:bookmarkEnd w:id="8"/>
      <w:r w:rsidDel="00000000" w:rsidR="00000000" w:rsidRPr="00000000">
        <w:rPr>
          <w:rtl w:val="0"/>
        </w:rPr>
        <w:t xml:space="preserve">NERC Region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North American Electric Reliability Corporation (NERC)</w:t>
      </w:r>
      <w:r w:rsidDel="00000000" w:rsidR="00000000" w:rsidRPr="00000000">
        <w:rPr>
          <w:rtl w:val="0"/>
        </w:rPr>
        <w:t xml:space="preserve"> divides the U.S. and parts of Canada into six major regional entities, each responsible for overseeing the reliability of the power grid in their area.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Below are the main NERC regions along with their abbreviations and the territories they cover:</w:t>
      </w:r>
    </w:p>
    <w:p w:rsidR="00000000" w:rsidDel="00000000" w:rsidP="00000000" w:rsidRDefault="00000000" w:rsidRPr="00000000" w14:paraId="00000069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Midwest Reliability Organization (MRO)</w:t>
      </w:r>
      <w:r w:rsidDel="00000000" w:rsidR="00000000" w:rsidRPr="00000000">
        <w:rPr>
          <w:rtl w:val="0"/>
        </w:rPr>
        <w:t xml:space="preserve">: Covers parts of the U.S. Midwest and Canada, including Minnesota, Wisconsin, Iowa, and Manitoba.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Northeast Power Coordinating Council (NPCC)</w:t>
      </w:r>
      <w:r w:rsidDel="00000000" w:rsidR="00000000" w:rsidRPr="00000000">
        <w:rPr>
          <w:rtl w:val="0"/>
        </w:rPr>
        <w:t xml:space="preserve">: Includes New York, New England, Ontario, Quebec, and the Maritime provinces of Canada.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ReliabilityFirst Corporation (RFC)</w:t>
      </w:r>
      <w:r w:rsidDel="00000000" w:rsidR="00000000" w:rsidRPr="00000000">
        <w:rPr>
          <w:rtl w:val="0"/>
        </w:rPr>
        <w:t xml:space="preserve">: Covers the Great Lakes region, including parts of Ohio, Pennsylvania, Maryland, New Jersey, and Virginia.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Southeastern Electric Reliability Council (SERC)</w:t>
      </w:r>
      <w:r w:rsidDel="00000000" w:rsidR="00000000" w:rsidRPr="00000000">
        <w:rPr>
          <w:rtl w:val="0"/>
        </w:rPr>
        <w:t xml:space="preserve">: Covers the southeastern U.S., including the Carolinas, Georgia, and parts of Mississippi, Alabama, and Tennessee.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Texas Reliability Entity (TRE)</w:t>
      </w:r>
      <w:r w:rsidDel="00000000" w:rsidR="00000000" w:rsidRPr="00000000">
        <w:rPr>
          <w:rtl w:val="0"/>
        </w:rPr>
        <w:t xml:space="preserve">: Focuses on the state of Texas, which operates mostly independently from the national grid.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Western Electricity Coordinating Council (WECC)</w:t>
      </w:r>
      <w:r w:rsidDel="00000000" w:rsidR="00000000" w:rsidRPr="00000000">
        <w:rPr>
          <w:rtl w:val="0"/>
        </w:rPr>
        <w:t xml:space="preserve">: Covers the western U.S., including California, Arizona, Nevada, and portions of Canada and Mexico​.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These two regions aren't set under the control of NERC but they were in the data:</w:t>
      </w:r>
    </w:p>
    <w:p w:rsidR="00000000" w:rsidDel="00000000" w:rsidP="00000000" w:rsidRDefault="00000000" w:rsidRPr="00000000" w14:paraId="0000007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Hawaii (HI)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 its own utility and grid operators, like Hawaiian Electric Company (HECO), which are not part of the continental NERC regions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Puerto Rico (PREPA)</w:t>
      </w:r>
      <w:r w:rsidDel="00000000" w:rsidR="00000000" w:rsidRPr="00000000">
        <w:rPr>
          <w:rtl w:val="0"/>
        </w:rPr>
        <w:t xml:space="preserve"> has its own utility and grid operators and doesn't fall within the main NERC regions.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tf9xutocjshk" w:id="9"/>
      <w:bookmarkEnd w:id="9"/>
      <w:r w:rsidDel="00000000" w:rsidR="00000000" w:rsidRPr="00000000">
        <w:rPr>
          <w:rtl w:val="0"/>
        </w:rPr>
        <w:t xml:space="preserve">Event Type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Multiple event types could be grouped under broader categories. After classification, the final categories are: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Natural Disaster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Fire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Vandalism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Shedding Load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Operational Malfunction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t7fzhy1dumq7" w:id="10"/>
      <w:bookmarkEnd w:id="10"/>
      <w:r w:rsidDel="00000000" w:rsidR="00000000" w:rsidRPr="00000000">
        <w:rPr>
          <w:rtl w:val="0"/>
        </w:rPr>
        <w:t xml:space="preserve">Natural Disaster Type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We observed that "</w:t>
      </w:r>
      <w:r w:rsidDel="00000000" w:rsidR="00000000" w:rsidRPr="00000000">
        <w:rPr>
          <w:b w:val="1"/>
          <w:rtl w:val="0"/>
        </w:rPr>
        <w:t xml:space="preserve">Natural Disaster</w:t>
      </w:r>
      <w:r w:rsidDel="00000000" w:rsidR="00000000" w:rsidRPr="00000000">
        <w:rPr>
          <w:rtl w:val="0"/>
        </w:rPr>
        <w:t xml:space="preserve">" was the most common category. To gain more insights, we added this new column to classify specific types of natural disasters, such as winds, floods, and earthquakes.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xu8n4p5iy198" w:id="11"/>
      <w:bookmarkEnd w:id="11"/>
      <w:r w:rsidDel="00000000" w:rsidR="00000000" w:rsidRPr="00000000">
        <w:rPr>
          <w:rtl w:val="0"/>
        </w:rPr>
        <w:t xml:space="preserve">Demand Loss (MW)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We replaced wrong data like 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values like "Unknown", "All", and "NA" with NULL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There were numbers separated by </w:t>
      </w:r>
      <w:r w:rsidDel="00000000" w:rsidR="00000000" w:rsidRPr="00000000">
        <w:rPr>
          <w:b w:val="1"/>
          <w:rtl w:val="0"/>
        </w:rPr>
        <w:t xml:space="preserve">"to"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"-"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we took the average, like "65 to 100" and "8000-10000"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wv7xt8yxcvy5" w:id="12"/>
      <w:bookmarkEnd w:id="12"/>
      <w:r w:rsidDel="00000000" w:rsidR="00000000" w:rsidRPr="00000000">
        <w:rPr>
          <w:rtl w:val="0"/>
        </w:rPr>
        <w:t xml:space="preserve">Number of  Customers Affected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We replaced wrong data like 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Text values like "Unknown", "utilities", "industrial", and "Interruptible" with NULL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907.2" w:top="720" w:left="1440" w:right="1267.2" w:header="0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202124"/>
        <w:sz w:val="26"/>
        <w:szCs w:val="26"/>
        <w:highlight w:val="white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-720" w:right="-720" w:firstLine="0"/>
    </w:pPr>
    <w:rPr>
      <w:b w:val="1"/>
      <w:color w:val="99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-270" w:firstLine="0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  <w:ind w:left="-720" w:right="-720" w:firstLine="0"/>
    </w:pPr>
    <w:rPr>
      <w:b w:val="1"/>
      <w:color w:val="99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