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00" w:line="600" w:lineRule="auto"/>
        <w:ind w:left="-540" w:right="-900" w:firstLine="0"/>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114300</wp:posOffset>
            </wp:positionV>
            <wp:extent cx="1906643" cy="1519238"/>
            <wp:effectExtent b="0" l="0" r="0" t="0"/>
            <wp:wrapNone/>
            <wp:docPr id="1" name="image1.jpg"/>
            <a:graphic>
              <a:graphicData uri="http://schemas.openxmlformats.org/drawingml/2006/picture">
                <pic:pic>
                  <pic:nvPicPr>
                    <pic:cNvPr id="0" name="image1.jpg"/>
                    <pic:cNvPicPr preferRelativeResize="0"/>
                  </pic:nvPicPr>
                  <pic:blipFill>
                    <a:blip r:embed="rId6"/>
                    <a:srcRect b="36562" l="44391" r="15384" t="6448"/>
                    <a:stretch>
                      <a:fillRect/>
                    </a:stretch>
                  </pic:blipFill>
                  <pic:spPr>
                    <a:xfrm>
                      <a:off x="0" y="0"/>
                      <a:ext cx="1906643" cy="1519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1743075" cy="1524000"/>
            <wp:effectExtent b="0" l="0" r="0" t="0"/>
            <wp:wrapNone/>
            <wp:docPr id="2" name="image1.jpg"/>
            <a:graphic>
              <a:graphicData uri="http://schemas.openxmlformats.org/drawingml/2006/picture">
                <pic:pic>
                  <pic:nvPicPr>
                    <pic:cNvPr id="0" name="image1.jpg"/>
                    <pic:cNvPicPr preferRelativeResize="0"/>
                  </pic:nvPicPr>
                  <pic:blipFill>
                    <a:blip r:embed="rId6"/>
                    <a:srcRect b="34068" l="8792" r="54402" t="8941"/>
                    <a:stretch>
                      <a:fillRect/>
                    </a:stretch>
                  </pic:blipFill>
                  <pic:spPr>
                    <a:xfrm>
                      <a:off x="0" y="0"/>
                      <a:ext cx="1743075" cy="1524000"/>
                    </a:xfrm>
                    <a:prstGeom prst="rect"/>
                    <a:ln/>
                  </pic:spPr>
                </pic:pic>
              </a:graphicData>
            </a:graphic>
          </wp:anchor>
        </w:drawing>
      </w:r>
    </w:p>
    <w:p w:rsidR="00000000" w:rsidDel="00000000" w:rsidP="00000000" w:rsidRDefault="00000000" w:rsidRPr="00000000" w14:paraId="00000002">
      <w:pPr>
        <w:keepNext w:val="0"/>
        <w:keepLines w:val="0"/>
        <w:shd w:fill="ffffff" w:val="clear"/>
        <w:spacing w:after="0" w:before="200" w:line="600" w:lineRule="auto"/>
        <w:ind w:left="-540" w:right="-900" w:firstLine="0"/>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shd w:fill="ffffff" w:val="clear"/>
        <w:spacing w:after="0" w:before="200" w:line="600" w:lineRule="auto"/>
        <w:ind w:left="-540" w:right="-90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shd w:fill="ffffff" w:val="clear"/>
        <w:spacing w:after="0" w:before="200" w:line="600" w:lineRule="auto"/>
        <w:ind w:left="1620" w:right="-900" w:firstLine="0"/>
        <w:jc w:val="left"/>
        <w:rPr>
          <w:rFonts w:ascii="Montserrat" w:cs="Montserrat" w:eastAsia="Montserrat" w:hAnsi="Montserrat"/>
          <w:b w:val="1"/>
          <w:sz w:val="34"/>
          <w:szCs w:val="34"/>
        </w:rPr>
      </w:pPr>
      <w:r w:rsidDel="00000000" w:rsidR="00000000" w:rsidRPr="00000000">
        <w:rPr>
          <w:b w:val="1"/>
          <w:sz w:val="34"/>
          <w:szCs w:val="34"/>
          <w:rtl w:val="0"/>
        </w:rPr>
        <w:t xml:space="preserve">  Digital Egypt Pioneers Initiative - DEPI</w:t>
      </w:r>
      <w:r w:rsidDel="00000000" w:rsidR="00000000" w:rsidRPr="00000000">
        <w:rPr>
          <w:rtl w:val="0"/>
        </w:rPr>
      </w:r>
    </w:p>
    <w:p w:rsidR="00000000" w:rsidDel="00000000" w:rsidP="00000000" w:rsidRDefault="00000000" w:rsidRPr="00000000" w14:paraId="00000005">
      <w:pPr>
        <w:spacing w:after="0" w:before="200" w:line="600" w:lineRule="auto"/>
        <w:jc w:val="center"/>
        <w:rPr>
          <w:rFonts w:ascii="Montserrat" w:cs="Montserrat" w:eastAsia="Montserrat" w:hAnsi="Montserrat"/>
          <w:b w:val="1"/>
          <w:color w:val="45818e"/>
          <w:sz w:val="34"/>
          <w:szCs w:val="34"/>
        </w:rPr>
      </w:pPr>
      <w:r w:rsidDel="00000000" w:rsidR="00000000" w:rsidRPr="00000000">
        <w:rPr>
          <w:b w:val="1"/>
          <w:sz w:val="34"/>
          <w:szCs w:val="34"/>
          <w:rtl w:val="0"/>
        </w:rPr>
        <w:t xml:space="preserve">Electricity Group 2 (</w:t>
      </w:r>
      <w:r w:rsidDel="00000000" w:rsidR="00000000" w:rsidRPr="00000000">
        <w:rPr>
          <w:rFonts w:ascii="Montserrat" w:cs="Montserrat" w:eastAsia="Montserrat" w:hAnsi="Montserrat"/>
          <w:b w:val="1"/>
          <w:color w:val="45818e"/>
          <w:sz w:val="30"/>
          <w:szCs w:val="30"/>
          <w:shd w:fill="auto" w:val="clear"/>
          <w:rtl w:val="0"/>
        </w:rPr>
        <w:t xml:space="preserve">Eng. Sherihan Ali</w:t>
      </w:r>
      <w:r w:rsidDel="00000000" w:rsidR="00000000" w:rsidRPr="00000000">
        <w:rPr>
          <w:b w:val="1"/>
          <w:sz w:val="34"/>
          <w:szCs w:val="34"/>
          <w:rtl w:val="0"/>
        </w:rPr>
        <w:t xml:space="preserve">)</w:t>
      </w:r>
      <w:r w:rsidDel="00000000" w:rsidR="00000000" w:rsidRPr="00000000">
        <w:rPr>
          <w:rtl w:val="0"/>
        </w:rPr>
      </w:r>
    </w:p>
    <w:p w:rsidR="00000000" w:rsidDel="00000000" w:rsidP="00000000" w:rsidRDefault="00000000" w:rsidRPr="00000000" w14:paraId="00000006">
      <w:pPr>
        <w:spacing w:after="0" w:before="200" w:line="600" w:lineRule="auto"/>
        <w:ind w:left="-540" w:right="-180" w:firstLine="0"/>
        <w:jc w:val="center"/>
        <w:rPr>
          <w:rFonts w:ascii="Montserrat" w:cs="Montserrat" w:eastAsia="Montserrat" w:hAnsi="Montserrat"/>
          <w:b w:val="1"/>
          <w:color w:val="1155cc"/>
          <w:sz w:val="34"/>
          <w:szCs w:val="34"/>
          <w:shd w:fill="auto" w:val="clear"/>
        </w:rPr>
      </w:pPr>
      <w:r w:rsidDel="00000000" w:rsidR="00000000" w:rsidRPr="00000000">
        <w:rPr>
          <w:rFonts w:ascii="Montserrat" w:cs="Montserrat" w:eastAsia="Montserrat" w:hAnsi="Montserrat"/>
          <w:b w:val="1"/>
          <w:color w:val="1155cc"/>
          <w:sz w:val="34"/>
          <w:szCs w:val="34"/>
          <w:shd w:fill="auto" w:val="clear"/>
          <w:rtl w:val="0"/>
        </w:rPr>
        <w:t xml:space="preserve">Project Administrators</w:t>
      </w:r>
    </w:p>
    <w:p w:rsidR="00000000" w:rsidDel="00000000" w:rsidP="00000000" w:rsidRDefault="00000000" w:rsidRPr="00000000" w14:paraId="00000007">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Abdelrahman Adel Ahmed</w:t>
      </w:r>
    </w:p>
    <w:p w:rsidR="00000000" w:rsidDel="00000000" w:rsidP="00000000" w:rsidRDefault="00000000" w:rsidRPr="00000000" w14:paraId="00000008">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Nada Mahmoud Hamed</w:t>
      </w:r>
    </w:p>
    <w:p w:rsidR="00000000" w:rsidDel="00000000" w:rsidP="00000000" w:rsidRDefault="00000000" w:rsidRPr="00000000" w14:paraId="00000009">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Ahmad Frhat Mohamad</w:t>
      </w:r>
    </w:p>
    <w:p w:rsidR="00000000" w:rsidDel="00000000" w:rsidP="00000000" w:rsidRDefault="00000000" w:rsidRPr="00000000" w14:paraId="0000000A">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Bassem Amr Mohamed</w:t>
      </w: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Hady Mohamed Kamel</w:t>
      </w:r>
    </w:p>
    <w:p w:rsidR="00000000" w:rsidDel="00000000" w:rsidP="00000000" w:rsidRDefault="00000000" w:rsidRPr="00000000" w14:paraId="0000000C">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Islam Mohamed Sayed</w:t>
      </w:r>
    </w:p>
    <w:p w:rsidR="00000000" w:rsidDel="00000000" w:rsidP="00000000" w:rsidRDefault="00000000" w:rsidRPr="00000000" w14:paraId="0000000D">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Aya Mohamed Khamis</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spacing w:after="240" w:before="240" w:line="360" w:lineRule="auto"/>
        <w:ind w:left="-540" w:right="-180" w:firstLine="0"/>
        <w:jc w:val="center"/>
        <w:rPr>
          <w:rFonts w:ascii="Montserrat" w:cs="Montserrat" w:eastAsia="Montserrat" w:hAnsi="Montserrat"/>
          <w:b w:val="1"/>
          <w:color w:val="45818e"/>
          <w:sz w:val="28"/>
          <w:szCs w:val="28"/>
        </w:rPr>
      </w:pPr>
      <w:r w:rsidDel="00000000" w:rsidR="00000000" w:rsidRPr="00000000">
        <w:rPr>
          <w:rtl w:val="0"/>
        </w:rPr>
      </w:r>
    </w:p>
    <w:p w:rsidR="00000000" w:rsidDel="00000000" w:rsidP="00000000" w:rsidRDefault="00000000" w:rsidRPr="00000000" w14:paraId="00000010">
      <w:pPr>
        <w:spacing w:after="240" w:before="240" w:line="360" w:lineRule="auto"/>
        <w:ind w:left="-540" w:right="-180" w:firstLine="0"/>
        <w:jc w:val="center"/>
        <w:rPr>
          <w:rFonts w:ascii="Montserrat" w:cs="Montserrat" w:eastAsia="Montserrat" w:hAnsi="Montserrat"/>
          <w:b w:val="1"/>
          <w:color w:val="45818e"/>
          <w:sz w:val="28"/>
          <w:szCs w:val="28"/>
        </w:rPr>
      </w:pPr>
      <w:r w:rsidDel="00000000" w:rsidR="00000000" w:rsidRPr="00000000">
        <w:rPr>
          <w:rtl w:val="0"/>
        </w:rPr>
      </w:r>
    </w:p>
    <w:p w:rsidR="00000000" w:rsidDel="00000000" w:rsidP="00000000" w:rsidRDefault="00000000" w:rsidRPr="00000000" w14:paraId="00000011">
      <w:pPr>
        <w:spacing w:after="240" w:before="240" w:line="360" w:lineRule="auto"/>
        <w:ind w:left="-540" w:right="-180" w:firstLine="0"/>
        <w:jc w:val="center"/>
        <w:rPr>
          <w:rFonts w:ascii="Montserrat" w:cs="Montserrat" w:eastAsia="Montserrat" w:hAnsi="Montserrat"/>
          <w:b w:val="1"/>
          <w:color w:val="45818e"/>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6"/>
          <w:szCs w:val="6"/>
        </w:rPr>
      </w:pPr>
      <w:r w:rsidDel="00000000" w:rsidR="00000000" w:rsidRPr="00000000">
        <w:rPr>
          <w:rtl w:val="0"/>
        </w:rPr>
      </w:r>
    </w:p>
    <w:p w:rsidR="00000000" w:rsidDel="00000000" w:rsidP="00000000" w:rsidRDefault="00000000" w:rsidRPr="00000000" w14:paraId="00000014">
      <w:pPr>
        <w:pStyle w:val="Heading1"/>
        <w:rPr/>
      </w:pPr>
      <w:bookmarkStart w:colFirst="0" w:colLast="0" w:name="_thc52pbhyqe6" w:id="0"/>
      <w:bookmarkEnd w:id="0"/>
      <w:r w:rsidDel="00000000" w:rsidR="00000000" w:rsidRPr="00000000">
        <w:rPr>
          <w:rtl w:val="0"/>
        </w:rPr>
        <w:t xml:space="preserve">Introduction</w:t>
      </w:r>
    </w:p>
    <w:p w:rsidR="00000000" w:rsidDel="00000000" w:rsidP="00000000" w:rsidRDefault="00000000" w:rsidRPr="00000000" w14:paraId="00000015">
      <w:pPr>
        <w:ind w:left="-360" w:firstLine="0"/>
        <w:rPr/>
      </w:pPr>
      <w:r w:rsidDel="00000000" w:rsidR="00000000" w:rsidRPr="00000000">
        <w:rPr>
          <w:rtl w:val="0"/>
        </w:rPr>
        <w:t xml:space="preserve">This report presents the key performance indicators (KPIs) used to analyze power outage events, assess their impact on customers, and identify critical areas for infrastructure improvement and service response optimization. The analysis focuses on KPIs such as </w:t>
      </w:r>
      <w:r w:rsidDel="00000000" w:rsidR="00000000" w:rsidRPr="00000000">
        <w:rPr>
          <w:b w:val="1"/>
          <w:rtl w:val="0"/>
        </w:rPr>
        <w:t xml:space="preserve">ImpactScore</w:t>
      </w:r>
      <w:r w:rsidDel="00000000" w:rsidR="00000000" w:rsidRPr="00000000">
        <w:rPr>
          <w:rtl w:val="0"/>
        </w:rPr>
        <w:t xml:space="preserve">, </w:t>
      </w:r>
      <w:r w:rsidDel="00000000" w:rsidR="00000000" w:rsidRPr="00000000">
        <w:rPr>
          <w:b w:val="1"/>
          <w:rtl w:val="0"/>
        </w:rPr>
        <w:t xml:space="preserve">Outage Risk Index (ORI)</w:t>
      </w:r>
      <w:r w:rsidDel="00000000" w:rsidR="00000000" w:rsidRPr="00000000">
        <w:rPr>
          <w:rtl w:val="0"/>
        </w:rPr>
        <w:t xml:space="preserve">, </w:t>
      </w:r>
      <w:r w:rsidDel="00000000" w:rsidR="00000000" w:rsidRPr="00000000">
        <w:rPr>
          <w:b w:val="1"/>
          <w:rtl w:val="0"/>
        </w:rPr>
        <w:t xml:space="preserve">Event Severity Index (ESI)</w:t>
      </w:r>
      <w:r w:rsidDel="00000000" w:rsidR="00000000" w:rsidRPr="00000000">
        <w:rPr>
          <w:rtl w:val="0"/>
        </w:rPr>
        <w:t xml:space="preserve">, and other metrics, providing actionable insights to support better decision-making and resource allocation.</w:t>
      </w:r>
    </w:p>
    <w:p w:rsidR="00000000" w:rsidDel="00000000" w:rsidP="00000000" w:rsidRDefault="00000000" w:rsidRPr="00000000" w14:paraId="00000016">
      <w:pPr>
        <w:pStyle w:val="Heading1"/>
        <w:rPr/>
      </w:pPr>
      <w:bookmarkStart w:colFirst="0" w:colLast="0" w:name="_vtxwo0bctmi7" w:id="1"/>
      <w:bookmarkEnd w:id="1"/>
      <w:r w:rsidDel="00000000" w:rsidR="00000000" w:rsidRPr="00000000">
        <w:rPr>
          <w:rtl w:val="0"/>
        </w:rPr>
        <w:t xml:space="preserve">Key Performance Indicators (KPIs)</w:t>
      </w:r>
    </w:p>
    <w:p w:rsidR="00000000" w:rsidDel="00000000" w:rsidP="00000000" w:rsidRDefault="00000000" w:rsidRPr="00000000" w14:paraId="00000017">
      <w:pPr>
        <w:pStyle w:val="Heading2"/>
        <w:spacing w:line="360" w:lineRule="auto"/>
        <w:ind w:left="-360" w:firstLine="0"/>
        <w:rPr/>
      </w:pPr>
      <w:bookmarkStart w:colFirst="0" w:colLast="0" w:name="_ijjobm725x3v" w:id="2"/>
      <w:bookmarkEnd w:id="2"/>
      <w:r w:rsidDel="00000000" w:rsidR="00000000" w:rsidRPr="00000000">
        <w:rPr>
          <w:rtl w:val="0"/>
        </w:rPr>
        <w:t xml:space="preserve">1. ImpactScore</w:t>
      </w:r>
    </w:p>
    <w:p w:rsidR="00000000" w:rsidDel="00000000" w:rsidP="00000000" w:rsidRDefault="00000000" w:rsidRPr="00000000" w14:paraId="00000018">
      <w:pPr>
        <w:numPr>
          <w:ilvl w:val="0"/>
          <w:numId w:val="8"/>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Measures the overall impact of power outages by calculating the product of demand loss and the number of customers affected.</w:t>
      </w:r>
      <w:r w:rsidDel="00000000" w:rsidR="00000000" w:rsidRPr="00000000">
        <w:rPr>
          <w:rtl w:val="0"/>
        </w:rPr>
      </w:r>
    </w:p>
    <w:p w:rsidR="00000000" w:rsidDel="00000000" w:rsidP="00000000" w:rsidRDefault="00000000" w:rsidRPr="00000000" w14:paraId="00000019">
      <w:pPr>
        <w:numPr>
          <w:ilvl w:val="0"/>
          <w:numId w:val="8"/>
        </w:numPr>
        <w:ind w:left="270" w:hanging="360"/>
      </w:pPr>
      <w:r w:rsidDel="00000000" w:rsidR="00000000" w:rsidRPr="00000000">
        <w:rPr>
          <w:b w:val="1"/>
          <w:u w:val="single"/>
          <w:rtl w:val="0"/>
        </w:rPr>
        <w:t xml:space="preserve">Purpose:</w:t>
      </w:r>
      <w:r w:rsidDel="00000000" w:rsidR="00000000" w:rsidRPr="00000000">
        <w:rPr>
          <w:rtl w:val="0"/>
        </w:rPr>
        <w:t xml:space="preserve"> This KPI will help quantify the overall impact of each outage by combining the lost energy (Demand Loss) and the number of customers affected. By evaluating this metric across events, you can assess which outages had the most significant consequences and prioritize preventive actions.</w:t>
      </w:r>
    </w:p>
    <w:p w:rsidR="00000000" w:rsidDel="00000000" w:rsidP="00000000" w:rsidRDefault="00000000" w:rsidRPr="00000000" w14:paraId="0000001A">
      <w:pPr>
        <w:numPr>
          <w:ilvl w:val="0"/>
          <w:numId w:val="8"/>
        </w:numPr>
        <w:ind w:left="270" w:hanging="360"/>
      </w:pPr>
      <w:r w:rsidDel="00000000" w:rsidR="00000000" w:rsidRPr="00000000">
        <w:rPr>
          <w:b w:val="1"/>
          <w:u w:val="single"/>
          <w:rtl w:val="0"/>
        </w:rPr>
        <w:t xml:space="preserve">Insights:</w:t>
      </w:r>
      <w:r w:rsidDel="00000000" w:rsidR="00000000" w:rsidRPr="00000000">
        <w:rPr>
          <w:rtl w:val="0"/>
        </w:rPr>
        <w:t xml:space="preserve"> Consistently high ImpactScores in a region indicate an urgent need for infrastructure upgrades or more reliable systems to mitigate future outages in those areas.</w:t>
      </w:r>
      <w:r w:rsidDel="00000000" w:rsidR="00000000" w:rsidRPr="00000000">
        <w:rPr>
          <w:rtl w:val="0"/>
        </w:rPr>
      </w:r>
    </w:p>
    <w:p w:rsidR="00000000" w:rsidDel="00000000" w:rsidP="00000000" w:rsidRDefault="00000000" w:rsidRPr="00000000" w14:paraId="0000001B">
      <w:pPr>
        <w:numPr>
          <w:ilvl w:val="0"/>
          <w:numId w:val="8"/>
        </w:numPr>
        <w:spacing w:line="360" w:lineRule="auto"/>
        <w:ind w:left="270" w:hanging="360"/>
      </w:pPr>
      <w:r w:rsidDel="00000000" w:rsidR="00000000" w:rsidRPr="00000000">
        <w:rPr>
          <w:b w:val="1"/>
          <w:u w:val="single"/>
          <w:rtl w:val="0"/>
        </w:rPr>
        <w:t xml:space="preserve">Formula:</w:t>
      </w:r>
    </w:p>
    <w:p w:rsidR="00000000" w:rsidDel="00000000" w:rsidP="00000000" w:rsidRDefault="00000000" w:rsidRPr="00000000" w14:paraId="0000001C">
      <w:pPr>
        <w:ind w:left="270" w:hanging="360"/>
        <w:rPr/>
      </w:pPr>
      <m:oMath>
        <m:r>
          <w:rPr>
            <w:b w:val="1"/>
            <w:sz w:val="28"/>
            <w:szCs w:val="28"/>
            <w:u w:val="single"/>
          </w:rPr>
          <m:t xml:space="preserve">ImpactScore = Demand Loss (MW) x Number of Customers Affected</m:t>
        </m:r>
      </m:oMath>
      <w:r w:rsidDel="00000000" w:rsidR="00000000" w:rsidRPr="00000000">
        <w:rPr>
          <w:rtl w:val="0"/>
        </w:rPr>
      </w:r>
    </w:p>
    <w:p w:rsidR="00000000" w:rsidDel="00000000" w:rsidP="00000000" w:rsidRDefault="00000000" w:rsidRPr="00000000" w14:paraId="0000001D">
      <w:pPr>
        <w:ind w:left="270" w:hanging="360"/>
        <w:rPr>
          <w:sz w:val="20"/>
          <w:szCs w:val="20"/>
        </w:rPr>
      </w:pPr>
      <w:r w:rsidDel="00000000" w:rsidR="00000000" w:rsidRPr="00000000">
        <w:rPr>
          <w:rtl w:val="0"/>
        </w:rPr>
      </w:r>
    </w:p>
    <w:p w:rsidR="00000000" w:rsidDel="00000000" w:rsidP="00000000" w:rsidRDefault="00000000" w:rsidRPr="00000000" w14:paraId="0000001E">
      <w:pPr>
        <w:pStyle w:val="Heading2"/>
        <w:rPr/>
      </w:pPr>
      <w:bookmarkStart w:colFirst="0" w:colLast="0" w:name="_hbancrk6z90p" w:id="3"/>
      <w:bookmarkEnd w:id="3"/>
      <w:r w:rsidDel="00000000" w:rsidR="00000000" w:rsidRPr="00000000">
        <w:rPr>
          <w:rtl w:val="0"/>
        </w:rPr>
        <w:t xml:space="preserve">2. Event Severity Index (ESI)</w:t>
      </w:r>
    </w:p>
    <w:p w:rsidR="00000000" w:rsidDel="00000000" w:rsidP="00000000" w:rsidRDefault="00000000" w:rsidRPr="00000000" w14:paraId="0000001F">
      <w:pPr>
        <w:numPr>
          <w:ilvl w:val="0"/>
          <w:numId w:val="9"/>
        </w:numPr>
        <w:ind w:left="270" w:hanging="360"/>
      </w:pPr>
      <w:r w:rsidDel="00000000" w:rsidR="00000000" w:rsidRPr="00000000">
        <w:rPr>
          <w:b w:val="1"/>
          <w:u w:val="single"/>
          <w:rtl w:val="0"/>
        </w:rPr>
        <w:t xml:space="preserve">Definition:</w:t>
      </w:r>
      <w:r w:rsidDel="00000000" w:rsidR="00000000" w:rsidRPr="00000000">
        <w:rPr>
          <w:rtl w:val="0"/>
        </w:rPr>
        <w:t xml:space="preserve"> Weigh events based on their duration and the number of customers affected to provide a measure of impact.</w:t>
      </w:r>
    </w:p>
    <w:p w:rsidR="00000000" w:rsidDel="00000000" w:rsidP="00000000" w:rsidRDefault="00000000" w:rsidRPr="00000000" w14:paraId="00000020">
      <w:pPr>
        <w:numPr>
          <w:ilvl w:val="0"/>
          <w:numId w:val="9"/>
        </w:numPr>
        <w:ind w:left="270" w:hanging="360"/>
      </w:pPr>
      <w:r w:rsidDel="00000000" w:rsidR="00000000" w:rsidRPr="00000000">
        <w:rPr>
          <w:b w:val="1"/>
          <w:u w:val="single"/>
          <w:rtl w:val="0"/>
        </w:rPr>
        <w:t xml:space="preserve">Purpose:</w:t>
      </w:r>
      <w:r w:rsidDel="00000000" w:rsidR="00000000" w:rsidRPr="00000000">
        <w:rPr>
          <w:rtl w:val="0"/>
        </w:rPr>
        <w:t xml:space="preserve"> This KPI measures the severity of an outage by weighing both its duration and the number of customers affected. It helps to evaluate how damaging each event was to the grid and the communities.</w:t>
      </w:r>
    </w:p>
    <w:p w:rsidR="00000000" w:rsidDel="00000000" w:rsidP="00000000" w:rsidRDefault="00000000" w:rsidRPr="00000000" w14:paraId="00000021">
      <w:pPr>
        <w:numPr>
          <w:ilvl w:val="0"/>
          <w:numId w:val="9"/>
        </w:numPr>
        <w:ind w:left="270" w:hanging="360"/>
      </w:pPr>
      <w:r w:rsidDel="00000000" w:rsidR="00000000" w:rsidRPr="00000000">
        <w:rPr>
          <w:b w:val="1"/>
          <w:u w:val="single"/>
          <w:rtl w:val="0"/>
        </w:rPr>
        <w:t xml:space="preserve">Insights:</w:t>
      </w:r>
      <w:r w:rsidDel="00000000" w:rsidR="00000000" w:rsidRPr="00000000">
        <w:rPr>
          <w:rtl w:val="0"/>
        </w:rPr>
        <w:t xml:space="preserve"> High ESI scores can indicate that certain events caused long-lasting service interruptions to a large customer base. Department of Energy (DOE) could use this insight to improve emergency response protocols and shorten recovery times in future outages.</w:t>
      </w:r>
    </w:p>
    <w:p w:rsidR="00000000" w:rsidDel="00000000" w:rsidP="00000000" w:rsidRDefault="00000000" w:rsidRPr="00000000" w14:paraId="00000022">
      <w:pPr>
        <w:numPr>
          <w:ilvl w:val="0"/>
          <w:numId w:val="9"/>
        </w:numPr>
        <w:ind w:left="270" w:hanging="360"/>
      </w:pPr>
      <w:r w:rsidDel="00000000" w:rsidR="00000000" w:rsidRPr="00000000">
        <w:rPr>
          <w:b w:val="1"/>
          <w:u w:val="single"/>
          <w:rtl w:val="0"/>
        </w:rPr>
        <w:t xml:space="preserve">Formula:</w:t>
      </w:r>
    </w:p>
    <w:p w:rsidR="00000000" w:rsidDel="00000000" w:rsidP="00000000" w:rsidRDefault="00000000" w:rsidRPr="00000000" w14:paraId="00000023">
      <w:pPr>
        <w:ind w:left="720" w:firstLine="0"/>
        <w:rPr>
          <w:b w:val="1"/>
          <w:sz w:val="28"/>
          <w:szCs w:val="28"/>
        </w:rPr>
      </w:pPr>
      <m:oMath>
        <m:r>
          <w:rPr>
            <w:b w:val="1"/>
            <w:sz w:val="32"/>
            <w:szCs w:val="32"/>
            <w:u w:val="single"/>
          </w:rPr>
          <m:t xml:space="preserve">ESI = </m:t>
        </m:r>
        <m:f>
          <m:fPr>
            <m:ctrlPr>
              <w:rPr>
                <w:b w:val="1"/>
                <w:sz w:val="32"/>
                <w:szCs w:val="32"/>
                <w:u w:val="single"/>
              </w:rPr>
            </m:ctrlPr>
          </m:fPr>
          <m:num>
            <m:r>
              <w:rPr>
                <w:b w:val="1"/>
                <w:sz w:val="32"/>
                <w:szCs w:val="32"/>
                <w:u w:val="single"/>
              </w:rPr>
              <m:t xml:space="preserve">Duration in Hours x Number of Customers Affected</m:t>
            </m:r>
          </m:num>
          <m:den>
            <m:r>
              <w:rPr>
                <w:b w:val="1"/>
                <w:sz w:val="32"/>
                <w:szCs w:val="32"/>
                <w:u w:val="single"/>
              </w:rPr>
              <m:t xml:space="preserve">Total  of Customers Affected</m:t>
            </m:r>
          </m:den>
        </m:f>
      </m:oMath>
      <w:r w:rsidDel="00000000" w:rsidR="00000000" w:rsidRPr="00000000">
        <w:rPr>
          <w:rtl w:val="0"/>
        </w:rPr>
      </w:r>
    </w:p>
    <w:p w:rsidR="00000000" w:rsidDel="00000000" w:rsidP="00000000" w:rsidRDefault="00000000" w:rsidRPr="00000000" w14:paraId="00000024">
      <w:pPr>
        <w:pStyle w:val="Heading2"/>
        <w:spacing w:line="360" w:lineRule="auto"/>
        <w:rPr/>
      </w:pPr>
      <w:bookmarkStart w:colFirst="0" w:colLast="0" w:name="_hsbw637al8nt" w:id="4"/>
      <w:bookmarkEnd w:id="4"/>
      <w:r w:rsidDel="00000000" w:rsidR="00000000" w:rsidRPr="00000000">
        <w:rPr>
          <w:rtl w:val="0"/>
        </w:rPr>
        <w:t xml:space="preserve">3. Outage Risk Index (ORI)</w:t>
      </w:r>
    </w:p>
    <w:p w:rsidR="00000000" w:rsidDel="00000000" w:rsidP="00000000" w:rsidRDefault="00000000" w:rsidRPr="00000000" w14:paraId="00000025">
      <w:pPr>
        <w:numPr>
          <w:ilvl w:val="0"/>
          <w:numId w:val="7"/>
        </w:numPr>
        <w:spacing w:line="276" w:lineRule="auto"/>
        <w:ind w:left="270" w:hanging="360"/>
        <w:rPr>
          <w:u w:val="none"/>
        </w:rPr>
      </w:pPr>
      <w:r w:rsidDel="00000000" w:rsidR="00000000" w:rsidRPr="00000000">
        <w:rPr>
          <w:b w:val="1"/>
          <w:u w:val="single"/>
          <w:rtl w:val="0"/>
        </w:rPr>
        <w:t xml:space="preserve">Definition:</w:t>
      </w:r>
      <w:r w:rsidDel="00000000" w:rsidR="00000000" w:rsidRPr="00000000">
        <w:rPr>
          <w:rtl w:val="0"/>
        </w:rPr>
        <w:t xml:space="preserve"> Assesses the risk of outages in specific areas or regions based on historical data.</w:t>
      </w:r>
    </w:p>
    <w:p w:rsidR="00000000" w:rsidDel="00000000" w:rsidP="00000000" w:rsidRDefault="00000000" w:rsidRPr="00000000" w14:paraId="00000026">
      <w:pPr>
        <w:numPr>
          <w:ilvl w:val="0"/>
          <w:numId w:val="7"/>
        </w:numPr>
        <w:spacing w:line="276" w:lineRule="auto"/>
        <w:ind w:left="270" w:hanging="360"/>
      </w:pPr>
      <w:r w:rsidDel="00000000" w:rsidR="00000000" w:rsidRPr="00000000">
        <w:rPr>
          <w:b w:val="1"/>
          <w:u w:val="single"/>
          <w:rtl w:val="0"/>
        </w:rPr>
        <w:t xml:space="preserve">Purpose:</w:t>
      </w:r>
      <w:r w:rsidDel="00000000" w:rsidR="00000000" w:rsidRPr="00000000">
        <w:rPr>
          <w:rtl w:val="0"/>
        </w:rPr>
        <w:t xml:space="preserve"> This KPI helps assess the risk of future outages in specific areas based on historical patterns of events, durations, and customer impact. It’s critical for prioritizing areas for resource allocation and system upgrades.</w:t>
      </w:r>
    </w:p>
    <w:p w:rsidR="00000000" w:rsidDel="00000000" w:rsidP="00000000" w:rsidRDefault="00000000" w:rsidRPr="00000000" w14:paraId="00000027">
      <w:pPr>
        <w:numPr>
          <w:ilvl w:val="0"/>
          <w:numId w:val="7"/>
        </w:numPr>
        <w:ind w:left="270" w:hanging="360"/>
      </w:pPr>
      <w:r w:rsidDel="00000000" w:rsidR="00000000" w:rsidRPr="00000000">
        <w:rPr>
          <w:b w:val="1"/>
          <w:u w:val="single"/>
          <w:rtl w:val="0"/>
        </w:rPr>
        <w:t xml:space="preserve">Insights:</w:t>
      </w:r>
      <w:r w:rsidDel="00000000" w:rsidR="00000000" w:rsidRPr="00000000">
        <w:rPr>
          <w:rtl w:val="0"/>
        </w:rPr>
        <w:t xml:space="preserve"> If ORI is particularly high in certain areas, the Department of Energy (DOE) could focus on reinforcing grid stability there to prevent further disruptions, which would also reduce the associated costs.</w:t>
      </w:r>
      <w:r w:rsidDel="00000000" w:rsidR="00000000" w:rsidRPr="00000000">
        <w:rPr>
          <w:rtl w:val="0"/>
        </w:rPr>
      </w:r>
    </w:p>
    <w:p w:rsidR="00000000" w:rsidDel="00000000" w:rsidP="00000000" w:rsidRDefault="00000000" w:rsidRPr="00000000" w14:paraId="00000028">
      <w:pPr>
        <w:numPr>
          <w:ilvl w:val="0"/>
          <w:numId w:val="7"/>
        </w:numPr>
        <w:spacing w:line="360" w:lineRule="auto"/>
        <w:ind w:left="270" w:hanging="360"/>
        <w:rPr>
          <w:u w:val="none"/>
        </w:rPr>
      </w:pPr>
      <w:r w:rsidDel="00000000" w:rsidR="00000000" w:rsidRPr="00000000">
        <w:rPr>
          <w:b w:val="1"/>
          <w:u w:val="single"/>
          <w:rtl w:val="0"/>
        </w:rPr>
        <w:t xml:space="preserve">Formula:</w:t>
      </w:r>
      <w:r w:rsidDel="00000000" w:rsidR="00000000" w:rsidRPr="00000000">
        <w:rPr>
          <w:rtl w:val="0"/>
        </w:rPr>
      </w:r>
    </w:p>
    <w:p w:rsidR="00000000" w:rsidDel="00000000" w:rsidP="00000000" w:rsidRDefault="00000000" w:rsidRPr="00000000" w14:paraId="00000029">
      <w:pPr>
        <w:spacing w:line="276" w:lineRule="auto"/>
        <w:ind w:left="270" w:hanging="360"/>
        <w:rPr>
          <w:sz w:val="14"/>
          <w:szCs w:val="14"/>
        </w:rPr>
      </w:pPr>
      <m:oMath>
        <m:r>
          <w:rPr>
            <w:b w:val="1"/>
            <w:sz w:val="34"/>
            <w:szCs w:val="34"/>
            <w:u w:val="single"/>
          </w:rPr>
          <m:t xml:space="preserve">ORI = </m:t>
        </m:r>
        <m:f>
          <m:fPr>
            <m:ctrlPr>
              <w:rPr>
                <w:b w:val="1"/>
                <w:sz w:val="34"/>
                <w:szCs w:val="34"/>
                <w:u w:val="single"/>
              </w:rPr>
            </m:ctrlPr>
          </m:fPr>
          <m:num>
            <m:r>
              <w:rPr>
                <w:b w:val="1"/>
                <w:sz w:val="34"/>
                <w:szCs w:val="34"/>
                <w:u w:val="single"/>
              </w:rPr>
              <m:t xml:space="preserve">Number of Events in Region x Average Duration x Number of Customers Affected</m:t>
            </m:r>
          </m:num>
          <m:den>
            <m:r>
              <w:rPr>
                <w:b w:val="1"/>
                <w:sz w:val="34"/>
                <w:szCs w:val="34"/>
                <w:u w:val="single"/>
              </w:rPr>
              <m:t xml:space="preserve">Total Events</m:t>
            </m:r>
          </m:den>
        </m:f>
      </m:oMath>
      <w:r w:rsidDel="00000000" w:rsidR="00000000" w:rsidRPr="00000000">
        <w:rPr>
          <w:rtl w:val="0"/>
        </w:rPr>
      </w:r>
    </w:p>
    <w:p w:rsidR="00000000" w:rsidDel="00000000" w:rsidP="00000000" w:rsidRDefault="00000000" w:rsidRPr="00000000" w14:paraId="0000002A">
      <w:pPr>
        <w:pStyle w:val="Heading2"/>
        <w:rPr/>
      </w:pPr>
      <w:bookmarkStart w:colFirst="0" w:colLast="0" w:name="_5q4j52daqmgm" w:id="5"/>
      <w:bookmarkEnd w:id="5"/>
      <w:r w:rsidDel="00000000" w:rsidR="00000000" w:rsidRPr="00000000">
        <w:rPr>
          <w:rtl w:val="0"/>
        </w:rPr>
        <w:t xml:space="preserve">4. Energy Loss per Event</w:t>
      </w:r>
      <m:oMath/>
      <w:r w:rsidDel="00000000" w:rsidR="00000000" w:rsidRPr="00000000">
        <w:rPr>
          <w:rtl w:val="0"/>
        </w:rPr>
      </w:r>
    </w:p>
    <w:p w:rsidR="00000000" w:rsidDel="00000000" w:rsidP="00000000" w:rsidRDefault="00000000" w:rsidRPr="00000000" w14:paraId="0000002B">
      <w:pPr>
        <w:numPr>
          <w:ilvl w:val="0"/>
          <w:numId w:val="5"/>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Calculates the average energy lost per event to assess efficiency.</w:t>
      </w:r>
    </w:p>
    <w:p w:rsidR="00000000" w:rsidDel="00000000" w:rsidP="00000000" w:rsidRDefault="00000000" w:rsidRPr="00000000" w14:paraId="0000002C">
      <w:pPr>
        <w:numPr>
          <w:ilvl w:val="0"/>
          <w:numId w:val="5"/>
        </w:numPr>
        <w:ind w:left="270" w:hanging="360"/>
      </w:pPr>
      <w:r w:rsidDel="00000000" w:rsidR="00000000" w:rsidRPr="00000000">
        <w:rPr>
          <w:b w:val="1"/>
          <w:u w:val="single"/>
          <w:rtl w:val="0"/>
        </w:rPr>
        <w:t xml:space="preserve">Purpose:</w:t>
      </w:r>
      <w:r w:rsidDel="00000000" w:rsidR="00000000" w:rsidRPr="00000000">
        <w:rPr>
          <w:rtl w:val="0"/>
        </w:rPr>
        <w:t xml:space="preserve"> This KPI calculates how much energy is lost per outage event. It’s useful for assessing the operational efficiency of the power grid and identifying where recovery efforts need improvement.</w:t>
      </w:r>
    </w:p>
    <w:p w:rsidR="00000000" w:rsidDel="00000000" w:rsidP="00000000" w:rsidRDefault="00000000" w:rsidRPr="00000000" w14:paraId="0000002D">
      <w:pPr>
        <w:numPr>
          <w:ilvl w:val="0"/>
          <w:numId w:val="5"/>
        </w:numPr>
        <w:ind w:left="270" w:hanging="360"/>
      </w:pPr>
      <w:r w:rsidDel="00000000" w:rsidR="00000000" w:rsidRPr="00000000">
        <w:rPr>
          <w:b w:val="1"/>
          <w:u w:val="single"/>
          <w:rtl w:val="0"/>
        </w:rPr>
        <w:t xml:space="preserve">Insights:</w:t>
      </w:r>
      <w:r w:rsidDel="00000000" w:rsidR="00000000" w:rsidRPr="00000000">
        <w:rPr>
          <w:rtl w:val="0"/>
        </w:rPr>
        <w:t xml:space="preserve"> If certain types of events or regions exhibit higher energy losses per event, DOE can investigate whether outdated equipment, poor grid design, or delayed responses contribute to the inefficiency.</w:t>
      </w:r>
    </w:p>
    <w:p w:rsidR="00000000" w:rsidDel="00000000" w:rsidP="00000000" w:rsidRDefault="00000000" w:rsidRPr="00000000" w14:paraId="0000002E">
      <w:pPr>
        <w:numPr>
          <w:ilvl w:val="0"/>
          <w:numId w:val="5"/>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2F">
      <w:pPr>
        <w:spacing w:line="240" w:lineRule="auto"/>
        <w:ind w:left="720" w:firstLine="0"/>
        <w:rPr>
          <w:sz w:val="4"/>
          <w:szCs w:val="4"/>
        </w:rPr>
      </w:pPr>
      <m:oMath>
        <m:r>
          <w:rPr>
            <w:b w:val="1"/>
            <w:sz w:val="34"/>
            <w:szCs w:val="34"/>
            <w:u w:val="single"/>
          </w:rPr>
          <m:t xml:space="preserve">Energy Loss per Event = </m:t>
        </m:r>
        <m:f>
          <m:fPr>
            <m:ctrlPr>
              <w:rPr>
                <w:b w:val="1"/>
                <w:sz w:val="34"/>
                <w:szCs w:val="34"/>
                <w:u w:val="single"/>
              </w:rPr>
            </m:ctrlPr>
          </m:fPr>
          <m:num>
            <m:r>
              <w:rPr>
                <w:b w:val="1"/>
                <w:sz w:val="34"/>
                <w:szCs w:val="34"/>
                <w:u w:val="single"/>
              </w:rPr>
              <m:t xml:space="preserve">Total </m:t>
            </m:r>
            <m:r>
              <w:rPr>
                <w:b w:val="1"/>
                <w:sz w:val="30"/>
                <w:szCs w:val="30"/>
                <w:u w:val="single"/>
              </w:rPr>
              <m:t xml:space="preserve">Demand Loss (MW)</m:t>
            </m:r>
          </m:num>
          <m:den>
            <m:r>
              <w:rPr>
                <w:b w:val="1"/>
                <w:sz w:val="34"/>
                <w:szCs w:val="34"/>
                <w:u w:val="single"/>
              </w:rPr>
              <m:t xml:space="preserve">Total  Number of Events</m:t>
            </m:r>
          </m:den>
        </m:f>
      </m:oMath>
      <w:r w:rsidDel="00000000" w:rsidR="00000000" w:rsidRPr="00000000">
        <w:rPr>
          <w:rtl w:val="0"/>
        </w:rPr>
      </w:r>
    </w:p>
    <w:p w:rsidR="00000000" w:rsidDel="00000000" w:rsidP="00000000" w:rsidRDefault="00000000" w:rsidRPr="00000000" w14:paraId="00000030">
      <w:pPr>
        <w:pStyle w:val="Heading2"/>
        <w:rPr/>
      </w:pPr>
      <w:bookmarkStart w:colFirst="0" w:colLast="0" w:name="_6cz9lrz9iqv7" w:id="6"/>
      <w:bookmarkEnd w:id="6"/>
      <w:r w:rsidDel="00000000" w:rsidR="00000000" w:rsidRPr="00000000">
        <w:rPr>
          <w:rtl w:val="0"/>
        </w:rPr>
        <w:t xml:space="preserve">5. Total Customers Affected</w:t>
      </w:r>
    </w:p>
    <w:p w:rsidR="00000000" w:rsidDel="00000000" w:rsidP="00000000" w:rsidRDefault="00000000" w:rsidRPr="00000000" w14:paraId="00000031">
      <w:pPr>
        <w:numPr>
          <w:ilvl w:val="0"/>
          <w:numId w:val="1"/>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Total number of customers impacted by power outages.</w:t>
      </w:r>
    </w:p>
    <w:p w:rsidR="00000000" w:rsidDel="00000000" w:rsidP="00000000" w:rsidRDefault="00000000" w:rsidRPr="00000000" w14:paraId="00000032">
      <w:pPr>
        <w:numPr>
          <w:ilvl w:val="0"/>
          <w:numId w:val="1"/>
        </w:numPr>
        <w:ind w:left="270" w:hanging="360"/>
      </w:pPr>
      <w:r w:rsidDel="00000000" w:rsidR="00000000" w:rsidRPr="00000000">
        <w:rPr>
          <w:b w:val="1"/>
          <w:u w:val="single"/>
          <w:rtl w:val="0"/>
        </w:rPr>
        <w:t xml:space="preserve">Purpose:</w:t>
      </w:r>
      <w:r w:rsidDel="00000000" w:rsidR="00000000" w:rsidRPr="00000000">
        <w:rPr>
          <w:rtl w:val="0"/>
        </w:rPr>
        <w:t xml:space="preserve"> This KPI gives a clear picture of how many customers were impacted across all events. It helps in understanding the broader community impact of outages.</w:t>
      </w:r>
    </w:p>
    <w:p w:rsidR="00000000" w:rsidDel="00000000" w:rsidP="00000000" w:rsidRDefault="00000000" w:rsidRPr="00000000" w14:paraId="00000033">
      <w:pPr>
        <w:numPr>
          <w:ilvl w:val="0"/>
          <w:numId w:val="1"/>
        </w:numPr>
        <w:ind w:left="270" w:hanging="360"/>
      </w:pPr>
      <w:r w:rsidDel="00000000" w:rsidR="00000000" w:rsidRPr="00000000">
        <w:rPr>
          <w:b w:val="1"/>
          <w:u w:val="single"/>
          <w:rtl w:val="0"/>
        </w:rPr>
        <w:t xml:space="preserve">Insights:</w:t>
      </w:r>
      <w:r w:rsidDel="00000000" w:rsidR="00000000" w:rsidRPr="00000000">
        <w:rPr>
          <w:rtl w:val="0"/>
        </w:rPr>
        <w:t xml:space="preserve"> A high number of total customers affected across multiple events may indicate that certain regions or customer segments are more vulnerable to outages. This insight can help prioritize grid reinforcements or emergency response plans in areas with a large customer impact.</w:t>
      </w:r>
    </w:p>
    <w:p w:rsidR="00000000" w:rsidDel="00000000" w:rsidP="00000000" w:rsidRDefault="00000000" w:rsidRPr="00000000" w14:paraId="00000034">
      <w:pPr>
        <w:numPr>
          <w:ilvl w:val="0"/>
          <w:numId w:val="1"/>
        </w:numPr>
        <w:ind w:left="270" w:hanging="360"/>
      </w:pPr>
      <w:r w:rsidDel="00000000" w:rsidR="00000000" w:rsidRPr="00000000">
        <w:rPr>
          <w:b w:val="1"/>
          <w:u w:val="single"/>
          <w:rtl w:val="0"/>
        </w:rPr>
        <w:t xml:space="preserve">Formula:</w:t>
      </w:r>
    </w:p>
    <w:p w:rsidR="00000000" w:rsidDel="00000000" w:rsidP="00000000" w:rsidRDefault="00000000" w:rsidRPr="00000000" w14:paraId="00000035">
      <w:pPr>
        <w:ind w:left="720" w:firstLine="0"/>
        <w:rPr>
          <w:b w:val="1"/>
          <w:sz w:val="18"/>
          <w:szCs w:val="18"/>
          <w:u w:val="single"/>
        </w:rPr>
      </w:pPr>
      <w:r w:rsidDel="00000000" w:rsidR="00000000" w:rsidRPr="00000000">
        <w:rPr>
          <w:rtl w:val="0"/>
        </w:rPr>
      </w:r>
    </w:p>
    <w:p w:rsidR="00000000" w:rsidDel="00000000" w:rsidP="00000000" w:rsidRDefault="00000000" w:rsidRPr="00000000" w14:paraId="00000036">
      <w:pPr>
        <w:ind w:left="720" w:firstLine="0"/>
        <w:rPr>
          <w:sz w:val="24"/>
          <w:szCs w:val="24"/>
        </w:rPr>
      </w:pPr>
      <m:oMath>
        <m:r>
          <w:rPr>
            <w:b w:val="1"/>
            <w:sz w:val="30"/>
            <w:szCs w:val="30"/>
            <w:u w:val="single"/>
          </w:rPr>
          <m:t xml:space="preserve">Total Customers Affected = </m:t>
        </m:r>
        <m:r>
          <w:rPr>
            <w:b w:val="1"/>
            <w:sz w:val="30"/>
            <w:szCs w:val="30"/>
            <w:u w:val="single"/>
          </w:rPr>
          <m:t>Σ</m:t>
        </m:r>
        <m:r>
          <w:rPr>
            <w:b w:val="1"/>
            <w:sz w:val="30"/>
            <w:szCs w:val="30"/>
            <w:u w:val="single"/>
          </w:rPr>
          <m:t xml:space="preserve">Number of Customers Affected</m:t>
        </m:r>
      </m:oMath>
      <w:r w:rsidDel="00000000" w:rsidR="00000000" w:rsidRPr="00000000">
        <w:rPr>
          <w:rtl w:val="0"/>
        </w:rPr>
      </w:r>
    </w:p>
    <w:p w:rsidR="00000000" w:rsidDel="00000000" w:rsidP="00000000" w:rsidRDefault="00000000" w:rsidRPr="00000000" w14:paraId="00000037">
      <w:pPr>
        <w:pStyle w:val="Heading2"/>
        <w:rPr/>
      </w:pPr>
      <w:bookmarkStart w:colFirst="0" w:colLast="0" w:name="_vmcxqqdtmonl" w:id="7"/>
      <w:bookmarkEnd w:id="7"/>
      <w:r w:rsidDel="00000000" w:rsidR="00000000" w:rsidRPr="00000000">
        <w:rPr>
          <w:rtl w:val="0"/>
        </w:rPr>
        <w:t xml:space="preserve">6. Average Event Duration</w:t>
      </w:r>
    </w:p>
    <w:p w:rsidR="00000000" w:rsidDel="00000000" w:rsidP="00000000" w:rsidRDefault="00000000" w:rsidRPr="00000000" w14:paraId="00000038">
      <w:pPr>
        <w:numPr>
          <w:ilvl w:val="0"/>
          <w:numId w:val="6"/>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Measures the average duration of power outages over a defined period.</w:t>
      </w:r>
    </w:p>
    <w:p w:rsidR="00000000" w:rsidDel="00000000" w:rsidP="00000000" w:rsidRDefault="00000000" w:rsidRPr="00000000" w14:paraId="00000039">
      <w:pPr>
        <w:numPr>
          <w:ilvl w:val="0"/>
          <w:numId w:val="6"/>
        </w:numPr>
        <w:ind w:left="270" w:hanging="360"/>
      </w:pPr>
      <w:r w:rsidDel="00000000" w:rsidR="00000000" w:rsidRPr="00000000">
        <w:rPr>
          <w:b w:val="1"/>
          <w:u w:val="single"/>
          <w:rtl w:val="0"/>
        </w:rPr>
        <w:t xml:space="preserve">Purpose:</w:t>
      </w:r>
      <w:r w:rsidDel="00000000" w:rsidR="00000000" w:rsidRPr="00000000">
        <w:rPr>
          <w:rtl w:val="0"/>
        </w:rPr>
        <w:t xml:space="preserve"> This KPI measures how long outages typically last, which helps in identifying trends related to recovery times and evaluating the performance of recovery teams.</w:t>
      </w:r>
    </w:p>
    <w:p w:rsidR="00000000" w:rsidDel="00000000" w:rsidP="00000000" w:rsidRDefault="00000000" w:rsidRPr="00000000" w14:paraId="0000003A">
      <w:pPr>
        <w:numPr>
          <w:ilvl w:val="0"/>
          <w:numId w:val="6"/>
        </w:numPr>
        <w:ind w:left="270" w:hanging="360"/>
      </w:pPr>
      <w:r w:rsidDel="00000000" w:rsidR="00000000" w:rsidRPr="00000000">
        <w:rPr>
          <w:b w:val="1"/>
          <w:u w:val="single"/>
          <w:rtl w:val="0"/>
        </w:rPr>
        <w:t xml:space="preserve">Insights:</w:t>
      </w:r>
      <w:r w:rsidDel="00000000" w:rsidR="00000000" w:rsidRPr="00000000">
        <w:rPr>
          <w:rtl w:val="0"/>
        </w:rPr>
        <w:t xml:space="preserve"> A longer-than-average Event Duration in a particular region may suggest resource allocation issues, such as insufficient response teams or difficulties accessing affected areas. Addressing these issues can minimize downtime in future outages.</w:t>
      </w:r>
    </w:p>
    <w:p w:rsidR="00000000" w:rsidDel="00000000" w:rsidP="00000000" w:rsidRDefault="00000000" w:rsidRPr="00000000" w14:paraId="0000003B">
      <w:pPr>
        <w:numPr>
          <w:ilvl w:val="0"/>
          <w:numId w:val="6"/>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3C">
      <w:pPr>
        <w:ind w:left="720" w:firstLine="0"/>
        <w:rPr>
          <w:sz w:val="34"/>
          <w:szCs w:val="34"/>
        </w:rPr>
      </w:pPr>
      <m:oMath>
        <m:r>
          <w:rPr>
            <w:b w:val="1"/>
            <w:sz w:val="34"/>
            <w:szCs w:val="34"/>
            <w:u w:val="single"/>
          </w:rPr>
          <m:t xml:space="preserve">Average Event Duration = </m:t>
        </m:r>
        <m:f>
          <m:fPr>
            <m:ctrlPr>
              <w:rPr>
                <w:b w:val="1"/>
                <w:sz w:val="34"/>
                <w:szCs w:val="34"/>
                <w:u w:val="single"/>
              </w:rPr>
            </m:ctrlPr>
          </m:fPr>
          <m:num>
            <m:r>
              <w:rPr>
                <w:b w:val="1"/>
                <w:sz w:val="34"/>
                <w:szCs w:val="34"/>
                <w:u w:val="single"/>
              </w:rPr>
              <m:t xml:space="preserve">Total Duration Time</m:t>
            </m:r>
          </m:num>
          <m:den>
            <m:r>
              <w:rPr>
                <w:b w:val="1"/>
                <w:sz w:val="34"/>
                <w:szCs w:val="34"/>
                <w:u w:val="single"/>
              </w:rPr>
              <m:t xml:space="preserve">Total  Number of Events</m:t>
            </m:r>
          </m:den>
        </m:f>
      </m:oMath>
      <w:r w:rsidDel="00000000" w:rsidR="00000000" w:rsidRPr="00000000">
        <w:rPr>
          <w:rtl w:val="0"/>
        </w:rPr>
      </w:r>
    </w:p>
    <w:p w:rsidR="00000000" w:rsidDel="00000000" w:rsidP="00000000" w:rsidRDefault="00000000" w:rsidRPr="00000000" w14:paraId="0000003D">
      <w:pPr>
        <w:pStyle w:val="Heading2"/>
        <w:rPr/>
      </w:pPr>
      <w:bookmarkStart w:colFirst="0" w:colLast="0" w:name="_g68qssve36t" w:id="8"/>
      <w:bookmarkEnd w:id="8"/>
      <w:r w:rsidDel="00000000" w:rsidR="00000000" w:rsidRPr="00000000">
        <w:rPr>
          <w:rtl w:val="0"/>
        </w:rPr>
        <w:t xml:space="preserve">7. Total Demand Loss (MW)</w:t>
      </w:r>
    </w:p>
    <w:p w:rsidR="00000000" w:rsidDel="00000000" w:rsidP="00000000" w:rsidRDefault="00000000" w:rsidRPr="00000000" w14:paraId="0000003E">
      <w:pPr>
        <w:numPr>
          <w:ilvl w:val="0"/>
          <w:numId w:val="3"/>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The total amount of demand loss in megawatts during power outages.</w:t>
      </w:r>
    </w:p>
    <w:p w:rsidR="00000000" w:rsidDel="00000000" w:rsidP="00000000" w:rsidRDefault="00000000" w:rsidRPr="00000000" w14:paraId="0000003F">
      <w:pPr>
        <w:numPr>
          <w:ilvl w:val="0"/>
          <w:numId w:val="3"/>
        </w:numPr>
        <w:ind w:left="270" w:hanging="360"/>
      </w:pPr>
      <w:r w:rsidDel="00000000" w:rsidR="00000000" w:rsidRPr="00000000">
        <w:rPr>
          <w:b w:val="1"/>
          <w:u w:val="single"/>
          <w:rtl w:val="0"/>
        </w:rPr>
        <w:t xml:space="preserve">Purpose:</w:t>
      </w:r>
      <w:r w:rsidDel="00000000" w:rsidR="00000000" w:rsidRPr="00000000">
        <w:rPr>
          <w:rtl w:val="0"/>
        </w:rPr>
        <w:t xml:space="preserve"> This KPI sums up the total energy lost across all events, providing a clear view of how much power was disrupted over time.</w:t>
      </w:r>
    </w:p>
    <w:p w:rsidR="00000000" w:rsidDel="00000000" w:rsidP="00000000" w:rsidRDefault="00000000" w:rsidRPr="00000000" w14:paraId="00000040">
      <w:pPr>
        <w:numPr>
          <w:ilvl w:val="0"/>
          <w:numId w:val="3"/>
        </w:numPr>
        <w:ind w:left="270" w:hanging="360"/>
      </w:pPr>
      <w:r w:rsidDel="00000000" w:rsidR="00000000" w:rsidRPr="00000000">
        <w:rPr>
          <w:b w:val="1"/>
          <w:u w:val="single"/>
          <w:rtl w:val="0"/>
        </w:rPr>
        <w:t xml:space="preserve">Insights:</w:t>
      </w:r>
      <w:r w:rsidDel="00000000" w:rsidR="00000000" w:rsidRPr="00000000">
        <w:rPr>
          <w:rtl w:val="0"/>
        </w:rPr>
        <w:t xml:space="preserve"> A high Total Demand Loss over several years could suggest that certain regions are more prone to larger disruptions, requiring focused investments in improving grid stability or upgrading systems.</w:t>
      </w:r>
    </w:p>
    <w:p w:rsidR="00000000" w:rsidDel="00000000" w:rsidP="00000000" w:rsidRDefault="00000000" w:rsidRPr="00000000" w14:paraId="00000041">
      <w:pPr>
        <w:numPr>
          <w:ilvl w:val="0"/>
          <w:numId w:val="3"/>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42">
      <w:pPr>
        <w:ind w:left="720" w:firstLine="0"/>
        <w:rPr>
          <w:b w:val="1"/>
          <w:sz w:val="16"/>
          <w:szCs w:val="16"/>
          <w:u w:val="single"/>
        </w:rPr>
      </w:pPr>
      <w:r w:rsidDel="00000000" w:rsidR="00000000" w:rsidRPr="00000000">
        <w:rPr>
          <w:rtl w:val="0"/>
        </w:rPr>
      </w:r>
    </w:p>
    <w:p w:rsidR="00000000" w:rsidDel="00000000" w:rsidP="00000000" w:rsidRDefault="00000000" w:rsidRPr="00000000" w14:paraId="00000043">
      <w:pPr>
        <w:spacing w:line="240" w:lineRule="auto"/>
        <w:ind w:left="720" w:firstLine="0"/>
        <w:rPr>
          <w:b w:val="1"/>
          <w:sz w:val="32"/>
          <w:szCs w:val="32"/>
          <w:u w:val="single"/>
        </w:rPr>
      </w:pPr>
      <m:oMath>
        <m:r>
          <w:rPr>
            <w:b w:val="1"/>
            <w:sz w:val="32"/>
            <w:szCs w:val="32"/>
            <w:u w:val="single"/>
          </w:rPr>
          <m:t xml:space="preserve">Total Demand Loss (MW) = </m:t>
        </m:r>
        <m:r>
          <w:rPr>
            <w:b w:val="1"/>
            <w:sz w:val="32"/>
            <w:szCs w:val="32"/>
            <w:u w:val="single"/>
          </w:rPr>
          <m:t>Σ</m:t>
        </m:r>
        <m:r>
          <w:rPr>
            <w:b w:val="1"/>
            <w:sz w:val="32"/>
            <w:szCs w:val="32"/>
            <w:u w:val="single"/>
          </w:rPr>
          <m:t xml:space="preserve"> Demand Loss (MW)</m:t>
        </m:r>
      </m:oMath>
      <w:r w:rsidDel="00000000" w:rsidR="00000000" w:rsidRPr="00000000">
        <w:rPr>
          <w:rtl w:val="0"/>
        </w:rPr>
      </w:r>
    </w:p>
    <w:p w:rsidR="00000000" w:rsidDel="00000000" w:rsidP="00000000" w:rsidRDefault="00000000" w:rsidRPr="00000000" w14:paraId="00000044">
      <w:pPr>
        <w:pStyle w:val="Heading2"/>
        <w:spacing w:line="276" w:lineRule="auto"/>
        <w:rPr/>
      </w:pPr>
      <w:bookmarkStart w:colFirst="0" w:colLast="0" w:name="_l8kpmoetu07u" w:id="9"/>
      <w:bookmarkEnd w:id="9"/>
      <w:r w:rsidDel="00000000" w:rsidR="00000000" w:rsidRPr="00000000">
        <w:rPr>
          <w:rtl w:val="0"/>
        </w:rPr>
        <w:t xml:space="preserve">8. Number of Events by Type</w:t>
      </w:r>
    </w:p>
    <w:p w:rsidR="00000000" w:rsidDel="00000000" w:rsidP="00000000" w:rsidRDefault="00000000" w:rsidRPr="00000000" w14:paraId="00000045">
      <w:pPr>
        <w:numPr>
          <w:ilvl w:val="0"/>
          <w:numId w:val="2"/>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Counts the number of events categorized by their type (e.g., natural disasters, operational failures).</w:t>
      </w:r>
    </w:p>
    <w:p w:rsidR="00000000" w:rsidDel="00000000" w:rsidP="00000000" w:rsidRDefault="00000000" w:rsidRPr="00000000" w14:paraId="00000046">
      <w:pPr>
        <w:numPr>
          <w:ilvl w:val="0"/>
          <w:numId w:val="2"/>
        </w:numPr>
        <w:ind w:left="270" w:hanging="360"/>
      </w:pPr>
      <w:r w:rsidDel="00000000" w:rsidR="00000000" w:rsidRPr="00000000">
        <w:rPr>
          <w:b w:val="1"/>
          <w:u w:val="single"/>
          <w:rtl w:val="0"/>
        </w:rPr>
        <w:t xml:space="preserve">Purpose:</w:t>
      </w:r>
      <w:r w:rsidDel="00000000" w:rsidR="00000000" w:rsidRPr="00000000">
        <w:rPr>
          <w:rtl w:val="0"/>
        </w:rPr>
        <w:t xml:space="preserve"> This KPI categorizes events by type (e.g., natural disasters, operational failures) to identify which types of incidents occur most frequently and cause the most disruption.</w:t>
      </w:r>
    </w:p>
    <w:p w:rsidR="00000000" w:rsidDel="00000000" w:rsidP="00000000" w:rsidRDefault="00000000" w:rsidRPr="00000000" w14:paraId="00000047">
      <w:pPr>
        <w:numPr>
          <w:ilvl w:val="0"/>
          <w:numId w:val="2"/>
        </w:numPr>
        <w:ind w:left="270" w:hanging="360"/>
      </w:pPr>
      <w:r w:rsidDel="00000000" w:rsidR="00000000" w:rsidRPr="00000000">
        <w:rPr>
          <w:b w:val="1"/>
          <w:u w:val="single"/>
          <w:rtl w:val="0"/>
        </w:rPr>
        <w:t xml:space="preserve">Insights:</w:t>
      </w:r>
      <w:r w:rsidDel="00000000" w:rsidR="00000000" w:rsidRPr="00000000">
        <w:rPr>
          <w:rtl w:val="0"/>
        </w:rPr>
        <w:t xml:space="preserve"> By identifying that operational failures happen more often than natural disasters, DOE could invest more in equipment maintenance and training to reduce these outages.</w:t>
      </w:r>
    </w:p>
    <w:p w:rsidR="00000000" w:rsidDel="00000000" w:rsidP="00000000" w:rsidRDefault="00000000" w:rsidRPr="00000000" w14:paraId="00000048">
      <w:pPr>
        <w:numPr>
          <w:ilvl w:val="0"/>
          <w:numId w:val="2"/>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49">
      <w:pPr>
        <w:ind w:left="720" w:firstLine="0"/>
        <w:rPr>
          <w:b w:val="1"/>
          <w:sz w:val="16"/>
          <w:szCs w:val="16"/>
          <w:u w:val="single"/>
        </w:rPr>
      </w:pPr>
      <w:r w:rsidDel="00000000" w:rsidR="00000000" w:rsidRPr="00000000">
        <w:rPr>
          <w:rtl w:val="0"/>
        </w:rPr>
      </w:r>
    </w:p>
    <w:p w:rsidR="00000000" w:rsidDel="00000000" w:rsidP="00000000" w:rsidRDefault="00000000" w:rsidRPr="00000000" w14:paraId="0000004A">
      <w:pPr>
        <w:ind w:left="270" w:hanging="360"/>
        <w:rPr>
          <w:sz w:val="30"/>
          <w:szCs w:val="30"/>
        </w:rPr>
      </w:pPr>
      <m:oMath>
        <m:r>
          <w:rPr>
            <w:b w:val="1"/>
            <w:sz w:val="30"/>
            <w:szCs w:val="30"/>
            <w:u w:val="single"/>
          </w:rPr>
          <m:t xml:space="preserve">Number of Events by Type = Count of Events grouped by Event Type</m:t>
        </m:r>
      </m:oMath>
      <w:r w:rsidDel="00000000" w:rsidR="00000000" w:rsidRPr="00000000">
        <w:rPr>
          <w:rtl w:val="0"/>
        </w:rPr>
      </w:r>
    </w:p>
    <w:p w:rsidR="00000000" w:rsidDel="00000000" w:rsidP="00000000" w:rsidRDefault="00000000" w:rsidRPr="00000000" w14:paraId="0000004B">
      <w:pPr>
        <w:pStyle w:val="Heading2"/>
        <w:rPr/>
      </w:pPr>
      <w:bookmarkStart w:colFirst="0" w:colLast="0" w:name="_4ova5yqqyym1" w:id="10"/>
      <w:bookmarkEnd w:id="10"/>
      <w:r w:rsidDel="00000000" w:rsidR="00000000" w:rsidRPr="00000000">
        <w:rPr>
          <w:rtl w:val="0"/>
        </w:rPr>
        <w:t xml:space="preserve">9. Event Frequency by Area</w:t>
      </w:r>
    </w:p>
    <w:p w:rsidR="00000000" w:rsidDel="00000000" w:rsidP="00000000" w:rsidRDefault="00000000" w:rsidRPr="00000000" w14:paraId="0000004C">
      <w:pPr>
        <w:numPr>
          <w:ilvl w:val="0"/>
          <w:numId w:val="4"/>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Tracks the number of events occurring in specific regions over a defined time frame.</w:t>
      </w:r>
    </w:p>
    <w:p w:rsidR="00000000" w:rsidDel="00000000" w:rsidP="00000000" w:rsidRDefault="00000000" w:rsidRPr="00000000" w14:paraId="0000004D">
      <w:pPr>
        <w:numPr>
          <w:ilvl w:val="0"/>
          <w:numId w:val="4"/>
        </w:numPr>
        <w:ind w:left="270" w:hanging="360"/>
      </w:pPr>
      <w:r w:rsidDel="00000000" w:rsidR="00000000" w:rsidRPr="00000000">
        <w:rPr>
          <w:b w:val="1"/>
          <w:u w:val="single"/>
          <w:rtl w:val="0"/>
        </w:rPr>
        <w:t xml:space="preserve">Purpose:</w:t>
      </w:r>
      <w:r w:rsidDel="00000000" w:rsidR="00000000" w:rsidRPr="00000000">
        <w:rPr>
          <w:rtl w:val="0"/>
        </w:rPr>
        <w:t xml:space="preserve"> This KPI tracks the number of outage events across different regions over a specified period, helping to pinpoint areas experiencing repeated disruptions.</w:t>
      </w:r>
    </w:p>
    <w:p w:rsidR="00000000" w:rsidDel="00000000" w:rsidP="00000000" w:rsidRDefault="00000000" w:rsidRPr="00000000" w14:paraId="0000004E">
      <w:pPr>
        <w:numPr>
          <w:ilvl w:val="0"/>
          <w:numId w:val="4"/>
        </w:numPr>
        <w:ind w:left="270" w:hanging="360"/>
      </w:pPr>
      <w:r w:rsidDel="00000000" w:rsidR="00000000" w:rsidRPr="00000000">
        <w:rPr>
          <w:b w:val="1"/>
          <w:u w:val="single"/>
          <w:rtl w:val="0"/>
        </w:rPr>
        <w:t xml:space="preserve">Insights:</w:t>
      </w:r>
      <w:r w:rsidDel="00000000" w:rsidR="00000000" w:rsidRPr="00000000">
        <w:rPr>
          <w:rtl w:val="0"/>
        </w:rPr>
        <w:t xml:space="preserve"> If certain areas show a high Event Frequency, it indicates the need for enhanced grid monitoring, upgrades, or preventive measures to reduce future occurrences.</w:t>
      </w:r>
    </w:p>
    <w:p w:rsidR="00000000" w:rsidDel="00000000" w:rsidP="00000000" w:rsidRDefault="00000000" w:rsidRPr="00000000" w14:paraId="0000004F">
      <w:pPr>
        <w:numPr>
          <w:ilvl w:val="0"/>
          <w:numId w:val="4"/>
        </w:numPr>
        <w:ind w:left="270" w:hanging="360"/>
        <w:rPr>
          <w:u w:val="none"/>
        </w:rPr>
      </w:pPr>
      <w:r w:rsidDel="00000000" w:rsidR="00000000" w:rsidRPr="00000000">
        <w:rPr>
          <w:b w:val="1"/>
          <w:u w:val="single"/>
          <w:rtl w:val="0"/>
        </w:rPr>
        <w:t xml:space="preserve">Formula: </w:t>
      </w:r>
    </w:p>
    <w:p w:rsidR="00000000" w:rsidDel="00000000" w:rsidP="00000000" w:rsidRDefault="00000000" w:rsidRPr="00000000" w14:paraId="00000050">
      <w:pPr>
        <w:ind w:left="720" w:firstLine="0"/>
        <w:rPr>
          <w:b w:val="1"/>
          <w:sz w:val="16"/>
          <w:szCs w:val="16"/>
          <w:u w:val="single"/>
        </w:rPr>
      </w:pPr>
      <w:r w:rsidDel="00000000" w:rsidR="00000000" w:rsidRPr="00000000">
        <w:rPr>
          <w:rtl w:val="0"/>
        </w:rPr>
      </w:r>
    </w:p>
    <w:p w:rsidR="00000000" w:rsidDel="00000000" w:rsidP="00000000" w:rsidRDefault="00000000" w:rsidRPr="00000000" w14:paraId="00000051">
      <w:pPr>
        <w:ind w:left="0" w:firstLine="0"/>
        <w:rPr>
          <w:b w:val="1"/>
          <w:sz w:val="30"/>
          <w:szCs w:val="30"/>
          <w:u w:val="single"/>
        </w:rPr>
      </w:pPr>
      <m:oMath>
        <m:r>
          <w:rPr>
            <w:b w:val="1"/>
            <w:sz w:val="28"/>
            <w:szCs w:val="28"/>
          </w:rPr>
          <m:t xml:space="preserve"> Event Frequency by Area = Count of Events grouped by Area Affected</m:t>
        </m:r>
      </m:oMath>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br w:type="textWrapping"/>
      </w:r>
    </w:p>
    <w:sectPr>
      <w:headerReference r:id="rId7" w:type="default"/>
      <w:footerReference r:id="rId8" w:type="default"/>
      <w:footerReference r:id="rId9" w:type="first"/>
      <w:pgSz w:h="15840" w:w="12240" w:orient="portrait"/>
      <w:pgMar w:bottom="907.2" w:top="720" w:left="1440" w:right="1267.2" w:header="0"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202124"/>
        <w:sz w:val="26"/>
        <w:szCs w:val="26"/>
        <w:highlight w:val="white"/>
        <w:lang w:val="en"/>
      </w:rPr>
    </w:rPrDefault>
    <w:pPrDefault>
      <w:pPr>
        <w:spacing w:line="276" w:lineRule="auto"/>
        <w:ind w:left="-9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right="-720" w:firstLine="0"/>
    </w:pPr>
    <w:rPr>
      <w:b w:val="1"/>
      <w:color w:val="990000"/>
      <w:sz w:val="32"/>
      <w:szCs w:val="32"/>
    </w:rPr>
  </w:style>
  <w:style w:type="paragraph" w:styleId="Heading2">
    <w:name w:val="heading 2"/>
    <w:basedOn w:val="Normal"/>
    <w:next w:val="Normal"/>
    <w:pPr>
      <w:keepNext w:val="1"/>
      <w:keepLines w:val="1"/>
      <w:spacing w:after="120" w:before="360" w:line="360" w:lineRule="auto"/>
      <w:ind w:left="-360" w:firstLine="0"/>
    </w:pPr>
    <w:rPr>
      <w:b w:val="1"/>
      <w:color w:val="38761d"/>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