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D1A" w:rsidRDefault="006E7D1A" w:rsidP="006E7D1A">
      <w:pPr>
        <w:shd w:val="clear" w:color="auto" w:fill="FFFFFF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Цель: р</w:t>
      </w:r>
      <w:r w:rsidRPr="00D65F69">
        <w:rPr>
          <w:rFonts w:ascii="Times New Roman" w:hAnsi="Times New Roman"/>
          <w:sz w:val="28"/>
          <w:szCs w:val="28"/>
        </w:rPr>
        <w:t>азработать проект политики информационной безопасности бизнес-компании.</w:t>
      </w:r>
    </w:p>
    <w:p w:rsidR="006E7D1A" w:rsidRDefault="006E7D1A" w:rsidP="006E7D1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Введение</w:t>
      </w:r>
    </w:p>
    <w:p w:rsidR="006E7D1A" w:rsidRDefault="006E7D1A" w:rsidP="006E7D1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toppp"/>
    </w:p>
    <w:p w:rsidR="006E7D1A" w:rsidRDefault="006E7D1A" w:rsidP="006E7D1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политикой безопасности </w:t>
      </w:r>
      <w:r>
        <w:rPr>
          <w:rFonts w:ascii="Times New Roman" w:hAnsi="Times New Roman" w:cs="Times New Roman"/>
          <w:sz w:val="28"/>
          <w:szCs w:val="28"/>
        </w:rPr>
        <w:t>понимается совокупность документированных управленческих решений, направленных на защиту информации и ассоциированных с ней ресурсов.</w:t>
      </w:r>
    </w:p>
    <w:p w:rsidR="006E7D1A" w:rsidRDefault="006E7D1A" w:rsidP="006E7D1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безопасности определяет стратегию организации в области информационной безопасности, а также ту меру внимания и количество ресурсов, которую руководство считает целесообразным выделить.</w:t>
      </w:r>
    </w:p>
    <w:p w:rsidR="006E7D1A" w:rsidRDefault="006E7D1A" w:rsidP="006E7D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Политика безопасности включает правила, процедуры и руководящие принципы в области безопасности, которыми руководствуется организация в своей деятельности. Кроме этого, политика безопасности включает в себя требования в адрес субъектов информационных отношений, при этом в политике безопасности излагается политика ролей субъектов информационных отношений.</w:t>
      </w:r>
      <w:bookmarkEnd w:id="0"/>
    </w:p>
    <w:p w:rsidR="006E7D1A" w:rsidRDefault="006E7D1A" w:rsidP="006E7D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A29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Большинство крупных компаний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Беларуси</w:t>
      </w:r>
      <w:r w:rsidRPr="007A29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всегда готовы защитить свою безопасность в сфере информационного взаимодействия с другими организациями. Утечки информации, неосторожное поведение сотрудников, диффамация – все это подрывает конкурентоспособность компании. При разработке системы защиты необходимо опираться и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белорусские</w:t>
      </w:r>
      <w:r w:rsidRPr="007A29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 на международные стандарты. Это позволит и взаимодействовать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белорусскими </w:t>
      </w:r>
      <w:r w:rsidRPr="007A29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государственными органами в соответствующем правовом поле, и успешно сотрудничать с зарубежными партнерами.</w:t>
      </w:r>
    </w:p>
    <w:p w:rsidR="006E7D1A" w:rsidRDefault="006E7D1A" w:rsidP="006E7D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Прежде всего политика необходима для того, чтобы донести до бизнеса цели и задачи информационной безопасности компании. Бизнес должен понимать, что агент безопасности – это не только инструмент для расследования фактов утечек данных, но и помощник в минимизации рисков компании, а, следовательно,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softHyphen/>
        <w:t>– в повышении прибыльности компании.</w:t>
      </w:r>
    </w:p>
    <w:p w:rsidR="006E7D1A" w:rsidRDefault="006E7D1A" w:rsidP="006E7D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6E7D1A" w:rsidRDefault="006E7D1A" w:rsidP="006E7D1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Описание структуры компании</w:t>
      </w:r>
    </w:p>
    <w:p w:rsidR="006E7D1A" w:rsidRDefault="006E7D1A" w:rsidP="006E7D1A">
      <w:pPr>
        <w:spacing w:after="0" w:line="240" w:lineRule="auto"/>
        <w:ind w:right="225"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E7D1A" w:rsidRPr="005D4861" w:rsidRDefault="006E7D1A" w:rsidP="006E7D1A">
      <w:pPr>
        <w:spacing w:after="0" w:line="240" w:lineRule="auto"/>
        <w:ind w:right="225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48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Организационная структура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</w:t>
      </w:r>
      <w:r w:rsidRPr="005D48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для пользования, которое объясняет, как организация выстроена и как она работает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</w:t>
      </w:r>
      <w:r w:rsidRPr="005D48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рганизационная структура описывает, как в компании принимаются решения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5D48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кто является ее лидером. </w:t>
      </w:r>
    </w:p>
    <w:p w:rsidR="006E7D1A" w:rsidRPr="006E7D1A" w:rsidRDefault="006E7D1A" w:rsidP="006E7D1A">
      <w:pPr>
        <w:spacing w:after="0" w:line="240" w:lineRule="auto"/>
        <w:ind w:right="225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E7D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Почему необходимо разрабатывать организационную структуру предприятия?</w:t>
      </w:r>
    </w:p>
    <w:p w:rsidR="006E7D1A" w:rsidRPr="005D4861" w:rsidRDefault="006E7D1A" w:rsidP="006E7D1A">
      <w:pPr>
        <w:spacing w:after="0" w:line="240" w:lineRule="auto"/>
        <w:ind w:right="225"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E7D1A" w:rsidRPr="005D4861" w:rsidRDefault="006E7D1A" w:rsidP="006E7D1A">
      <w:pPr>
        <w:pStyle w:val="a5"/>
        <w:numPr>
          <w:ilvl w:val="0"/>
          <w:numId w:val="4"/>
        </w:numPr>
        <w:spacing w:after="0" w:line="240" w:lineRule="auto"/>
        <w:ind w:left="426"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48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Организационная структура дает четкое понимание того, в каком направлении движется компания. </w:t>
      </w:r>
      <w:bookmarkStart w:id="1" w:name="_GoBack"/>
      <w:bookmarkEnd w:id="1"/>
      <w:r w:rsidRPr="005D48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Ясная структура — это инструмент, с помощью которого можно придерживаться порядка в принятии решений и преодолевать различные разногласия.</w:t>
      </w:r>
    </w:p>
    <w:p w:rsidR="006E7D1A" w:rsidRPr="005D4861" w:rsidRDefault="006E7D1A" w:rsidP="006E7D1A">
      <w:pPr>
        <w:pStyle w:val="a5"/>
        <w:numPr>
          <w:ilvl w:val="0"/>
          <w:numId w:val="4"/>
        </w:numPr>
        <w:spacing w:after="0" w:line="240" w:lineRule="auto"/>
        <w:ind w:left="426"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48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Организационная структура связывает участников. Благодаря ей люди, присоединяющиеся к группе, имеют отличительные черты. В то же время и сама группа обладает определенными особенностями.</w:t>
      </w:r>
    </w:p>
    <w:p w:rsidR="006E7D1A" w:rsidRPr="005D4861" w:rsidRDefault="006E7D1A" w:rsidP="006E7D1A">
      <w:pPr>
        <w:pStyle w:val="a5"/>
        <w:numPr>
          <w:ilvl w:val="0"/>
          <w:numId w:val="4"/>
        </w:numPr>
        <w:spacing w:after="0" w:line="240" w:lineRule="auto"/>
        <w:ind w:left="426"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48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Организационная структура формируется неизбежно. Любая организация по определению подразумевает какую-то структуру.</w:t>
      </w:r>
    </w:p>
    <w:p w:rsidR="006E7D1A" w:rsidRDefault="006E7D1A" w:rsidP="004042A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Организационная структура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Amazon:</w:t>
      </w:r>
    </w:p>
    <w:p w:rsidR="006E7D1A" w:rsidRDefault="006E7D1A" w:rsidP="004042A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798665"/>
            <wp:effectExtent l="0" t="0" r="3175" b="2540"/>
            <wp:docPr id="1" name="Рисунок 1" descr="Amazon Organizational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Organizational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8FD" w:rsidRPr="003808FD" w:rsidRDefault="003808FD" w:rsidP="003808F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Иерархическая корпоративная структура. Иерархическая структура в </w:t>
      </w:r>
      <w:proofErr w:type="spellStart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Amazon</w:t>
      </w:r>
      <w:proofErr w:type="spellEnd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сложилась из-за огромных размеров бизнеса. В крупнейшем интернет-</w:t>
      </w:r>
      <w:proofErr w:type="spellStart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ритейлере</w:t>
      </w:r>
      <w:proofErr w:type="spellEnd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мире по объему выручки работает более 1,3 миллиона человек по всему миру.</w:t>
      </w:r>
    </w:p>
    <w:p w:rsidR="003808FD" w:rsidRPr="003808FD" w:rsidRDefault="003808FD" w:rsidP="003808F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808FD" w:rsidRPr="003808FD" w:rsidRDefault="003808FD" w:rsidP="003808F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Гибридные проектные группы. Корпоративная структура </w:t>
      </w:r>
      <w:proofErr w:type="spellStart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Amazon</w:t>
      </w:r>
      <w:proofErr w:type="spellEnd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объединяет гибридные проектные группы при разработке новых продуктов и услуг. Специалисты из различных отделов привлекаются в соответствии с их навыками и компетенциями, необходимыми для проекта. Эти сотрудники могут быть привлечены на неполный рабочий день для отчетности как перед руководителями своих отделов, так и перед руководителями проектов, или они могут участвовать в проекте на полный рабочий день, отчитываясь перед менеджером проекта только на время проекта.</w:t>
      </w:r>
    </w:p>
    <w:p w:rsidR="003808FD" w:rsidRPr="003808FD" w:rsidRDefault="003808FD" w:rsidP="003808F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808FD" w:rsidRPr="003808FD" w:rsidRDefault="003808FD" w:rsidP="003808F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3. Гибкость бизнеса. Важно отметить, что, несмотря на свой большой размер, в отличие от многих других компаний с иерархической организационной структурой, </w:t>
      </w:r>
      <w:proofErr w:type="spellStart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Amazon</w:t>
      </w:r>
      <w:proofErr w:type="spellEnd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остается очень гибкой, чтобы адаптироваться к частым изменениям на внешнем рынке. Более того, гигант онлайн-ритейла приводит к изменениям во внешней бизнес-среде; это привело к прорывным инновациям в электронной коммерции, и в настоящее время это приведет к прорывным инновациям в глобальной логистической отрасли. Успешная организация гибридных проектных групп играет важную роль в поддержании гибкости бизнеса.</w:t>
      </w:r>
    </w:p>
    <w:p w:rsidR="003808FD" w:rsidRPr="003808FD" w:rsidRDefault="003808FD" w:rsidP="003808F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808FD" w:rsidRPr="003808FD" w:rsidRDefault="003808FD" w:rsidP="003808F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Организационная структура </w:t>
      </w:r>
      <w:proofErr w:type="spellStart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Amazon</w:t>
      </w:r>
      <w:proofErr w:type="spellEnd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объединяет множество небольших команд, которые занимаются различными аспектами бизнеса. Основателю </w:t>
      </w:r>
      <w:proofErr w:type="spellStart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Amazon</w:t>
      </w:r>
      <w:proofErr w:type="spellEnd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бывшему генеральному директору </w:t>
      </w:r>
      <w:proofErr w:type="spellStart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Джеффу</w:t>
      </w:r>
      <w:proofErr w:type="spellEnd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Безосу</w:t>
      </w:r>
      <w:proofErr w:type="spellEnd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приписывают </w:t>
      </w:r>
      <w:proofErr w:type="gramStart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введение ”правила</w:t>
      </w:r>
      <w:proofErr w:type="gramEnd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двух пицц". Согласно этому правилу, встречи должны проводиться в командах, достаточно маленьких, чтобы всех можно было накормить всего двумя пиццами. “Правило двух пицц” действует и по сей день под руководством нового генерального директора Энди </w:t>
      </w:r>
      <w:proofErr w:type="spellStart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Джасси</w:t>
      </w:r>
      <w:proofErr w:type="spellEnd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3808FD" w:rsidRPr="003808FD" w:rsidRDefault="003808FD" w:rsidP="003808F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808FD" w:rsidRDefault="003808FD" w:rsidP="003808F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Стабильность в высшем руководстве. Стабильность - одна из ключевых особенностей </w:t>
      </w:r>
      <w:proofErr w:type="spellStart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Amazon</w:t>
      </w:r>
      <w:proofErr w:type="spellEnd"/>
      <w:r w:rsidRPr="003808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частности, крупнейшая по выручке интернет-компания испытывает “очень небольшую текучесть кадров среди своих наиболее важных влиятельных игроков, причем многие из них работают в компании годами, если не десятилетиями”. Это довольно необычно для современных компаний, где изменения в команде высшего руководства стали частым явлением.</w:t>
      </w:r>
    </w:p>
    <w:p w:rsidR="003808FD" w:rsidRPr="006E7D1A" w:rsidRDefault="003808FD" w:rsidP="003808F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808FD" w:rsidRDefault="003808FD" w:rsidP="003808FD">
      <w:pPr>
        <w:pStyle w:val="a5"/>
        <w:spacing w:after="0" w:line="240" w:lineRule="auto"/>
        <w:ind w:left="851" w:right="22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 рисков</w:t>
      </w:r>
    </w:p>
    <w:p w:rsidR="003808FD" w:rsidRDefault="003808FD" w:rsidP="003808FD">
      <w:pPr>
        <w:pStyle w:val="a5"/>
        <w:spacing w:after="0" w:line="240" w:lineRule="auto"/>
        <w:ind w:left="851" w:right="22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</w:pPr>
    </w:p>
    <w:p w:rsidR="003808FD" w:rsidRDefault="003808FD" w:rsidP="003808F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6734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Анализ информационных рисков</w:t>
      </w:r>
      <w:r w:rsidRPr="004673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— это процесс комплексной оценки защищенности информационной системы с переходом к количественным или качественным показателям рисков. При этом риск — это вероятный ущерб, который зависит от защищенности системы. Итак, из определения следует, что на выходе алгоритма анализа риска можно получить либо количественную оценку рисков (риск измеряется в деньгах), либо — качественную (уровни риска; обычно: высокий, средний, низкий).</w:t>
      </w:r>
    </w:p>
    <w:p w:rsidR="003808FD" w:rsidRDefault="003808FD" w:rsidP="003808F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673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На сегодня не существует единой методики количественного расчета величин рисков, измеряемой </w:t>
      </w:r>
      <w:proofErr w:type="gramStart"/>
      <w:r w:rsidRPr="004673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стоимостной оценки</w:t>
      </w:r>
      <w:proofErr w:type="gramEnd"/>
      <w:r w:rsidRPr="004673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3808FD" w:rsidRPr="004C6844" w:rsidRDefault="003808FD" w:rsidP="003808F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Все множество потенциальных угроз безопасности информации делится на три класса по природе их возникновения:</w:t>
      </w:r>
    </w:p>
    <w:p w:rsidR="003808FD" w:rsidRPr="004C6844" w:rsidRDefault="003808FD" w:rsidP="003808FD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антропогенные, </w:t>
      </w:r>
    </w:p>
    <w:p w:rsidR="003808FD" w:rsidRPr="004C6844" w:rsidRDefault="003808FD" w:rsidP="003808FD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техногенные,</w:t>
      </w:r>
    </w:p>
    <w:p w:rsidR="003808FD" w:rsidRPr="004C6844" w:rsidRDefault="003808FD" w:rsidP="003808FD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естественные (природные). </w:t>
      </w:r>
    </w:p>
    <w:p w:rsidR="003808FD" w:rsidRPr="004C6844" w:rsidRDefault="003808FD" w:rsidP="003808F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Возникновение антропогенных угроз обусловлено деятельностью человека. Среди них можно выделить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персонала, так и угрозы, возникающие в силу умышленных действий, связанные с корыстными, идейными или иными устремлениями людей. </w:t>
      </w:r>
    </w:p>
    <w:p w:rsidR="003808FD" w:rsidRPr="004C6844" w:rsidRDefault="003808FD" w:rsidP="003808F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техногенным угрозам могут быть отнесены сбои, в том числе в работе, или разрушение систем, созданных человеком. </w:t>
      </w:r>
    </w:p>
    <w:p w:rsidR="003808FD" w:rsidRPr="004C6844" w:rsidRDefault="003808FD" w:rsidP="003808F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 </w:t>
      </w:r>
    </w:p>
    <w:p w:rsidR="003808FD" w:rsidRPr="004C6844" w:rsidRDefault="003808FD" w:rsidP="003808F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К естественным (природным) угрозам относятся угрозы метеорологические, атмосферные, геофизические, геомагнитные, включая экстремальные климатические условия, метеорологические явления, стихийные бедствия. Источники угроз по отношению к инфраструктуре Главпочтамта могут быть как внешними, так и внутренними.</w:t>
      </w:r>
    </w:p>
    <w:p w:rsidR="003808FD" w:rsidRPr="004C6844" w:rsidRDefault="003808FD" w:rsidP="003808F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Источниками внутренних угроз являются:</w:t>
      </w:r>
    </w:p>
    <w:p w:rsidR="003808FD" w:rsidRPr="004C6844" w:rsidRDefault="003808FD" w:rsidP="003808FD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сотрудники организации;</w:t>
      </w:r>
    </w:p>
    <w:p w:rsidR="003808FD" w:rsidRPr="004C6844" w:rsidRDefault="003808FD" w:rsidP="003808FD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обеспечение;</w:t>
      </w:r>
    </w:p>
    <w:p w:rsidR="003808FD" w:rsidRPr="004C6844" w:rsidRDefault="003808FD" w:rsidP="003808FD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аппаратные средства.</w:t>
      </w:r>
    </w:p>
    <w:p w:rsidR="003808FD" w:rsidRPr="004C6844" w:rsidRDefault="003808FD" w:rsidP="003808F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К информационным угрозам относятся:</w:t>
      </w:r>
    </w:p>
    <w:p w:rsidR="003808FD" w:rsidRPr="004C6844" w:rsidRDefault="003808FD" w:rsidP="003808FD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несанкционированный доступ к информационным ресурсам;</w:t>
      </w:r>
    </w:p>
    <w:p w:rsidR="003808FD" w:rsidRPr="004C6844" w:rsidRDefault="003808FD" w:rsidP="003808FD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незаконное копирование данных в информационных системах;</w:t>
      </w:r>
    </w:p>
    <w:p w:rsidR="003808FD" w:rsidRPr="004C6844" w:rsidRDefault="003808FD" w:rsidP="003808FD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противозаконный сбор и использование информации;</w:t>
      </w:r>
    </w:p>
    <w:p w:rsidR="003808FD" w:rsidRPr="004C6844" w:rsidRDefault="003808FD" w:rsidP="003808FD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информационного оружия.</w:t>
      </w:r>
    </w:p>
    <w:p w:rsidR="003808FD" w:rsidRPr="004C6844" w:rsidRDefault="003808FD" w:rsidP="003808F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К программным угрозам относятся:</w:t>
      </w:r>
    </w:p>
    <w:p w:rsidR="003808FD" w:rsidRPr="004C6844" w:rsidRDefault="003808FD" w:rsidP="003808FD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ошибок и «дыр» в ПО;</w:t>
      </w:r>
    </w:p>
    <w:p w:rsidR="003808FD" w:rsidRPr="004C6844" w:rsidRDefault="003808FD" w:rsidP="003808FD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компьютерные вирусы и вредоносные программы;</w:t>
      </w:r>
    </w:p>
    <w:p w:rsidR="003808FD" w:rsidRPr="004C6844" w:rsidRDefault="003808FD" w:rsidP="003808F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К физическим угрозам относятся:</w:t>
      </w:r>
    </w:p>
    <w:p w:rsidR="004042AF" w:rsidRDefault="003808FD" w:rsidP="00735F9A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уничтожение или разрушение средств обработки информации и связи;</w:t>
      </w:r>
    </w:p>
    <w:p w:rsidR="00735F9A" w:rsidRDefault="00735F9A" w:rsidP="00735F9A">
      <w:pPr>
        <w:spacing w:after="0" w:line="276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5F9A" w:rsidRDefault="00735F9A" w:rsidP="00735F9A">
      <w:pPr>
        <w:spacing w:after="0" w:line="276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5F9A" w:rsidRDefault="00735F9A" w:rsidP="00735F9A">
      <w:pPr>
        <w:spacing w:after="0" w:line="276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5F9A" w:rsidRPr="00BB1965" w:rsidRDefault="00735F9A" w:rsidP="00735F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</w:pPr>
      <w:r w:rsidRPr="00BB1965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lastRenderedPageBreak/>
        <w:t>Общие положения</w:t>
      </w:r>
    </w:p>
    <w:p w:rsidR="00735F9A" w:rsidRDefault="00735F9A" w:rsidP="00735F9A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735F9A" w:rsidRDefault="00735F9A" w:rsidP="00735F9A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Безопасность объектов информатизации достигается противодействием всем видам угроз, внешним и внутренним, умышленным и непреднамеренным, минимизацией ущерба от возможной реализации угрозы безопасности персональных данных, исключением несанкционированного, в том числе случайного, доступа к объектам защиты.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</w:t>
      </w:r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ерсональные данные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подлежат защите в контролируемой зоне и при передаче по каналам связи за ее границы.</w:t>
      </w:r>
    </w:p>
    <w:p w:rsidR="00735F9A" w:rsidRPr="00BB1965" w:rsidRDefault="00735F9A" w:rsidP="00735F9A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735F9A" w:rsidRDefault="00735F9A" w:rsidP="00735F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</w:pPr>
      <w:r w:rsidRPr="00BB1965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Область действия</w:t>
      </w:r>
    </w:p>
    <w:p w:rsidR="00735F9A" w:rsidRPr="00BB1965" w:rsidRDefault="00735F9A" w:rsidP="00735F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</w:pPr>
    </w:p>
    <w:p w:rsidR="00735F9A" w:rsidRDefault="00735F9A" w:rsidP="00735F9A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Требования Политики распространяются на всех сотрудников, а также прочих лиц, </w:t>
      </w:r>
      <w:proofErr w:type="gram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привлекаемых к исполнению работ</w:t>
      </w:r>
      <w:proofErr w:type="gram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связанных с обработкой </w:t>
      </w:r>
      <w:r w:rsidRPr="000B0D5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персональны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х</w:t>
      </w:r>
      <w:r w:rsidRPr="000B0D5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данны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х</w:t>
      </w:r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</w:p>
    <w:p w:rsidR="00735F9A" w:rsidRPr="00BB1965" w:rsidRDefault="00735F9A" w:rsidP="00735F9A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735F9A" w:rsidRDefault="00735F9A" w:rsidP="00735F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</w:pPr>
      <w:r w:rsidRPr="00BB1965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Система защиты персональных данных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 xml:space="preserve"> (</w:t>
      </w:r>
      <w:proofErr w:type="spellStart"/>
      <w:r w:rsidRPr="000B0D56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СЗПДн</w:t>
      </w:r>
      <w:proofErr w:type="spellEnd"/>
      <w:r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)</w:t>
      </w:r>
    </w:p>
    <w:p w:rsidR="00735F9A" w:rsidRPr="00BB1965" w:rsidRDefault="00735F9A" w:rsidP="00735F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</w:pPr>
    </w:p>
    <w:p w:rsidR="00735F9A" w:rsidRDefault="00735F9A" w:rsidP="00735F9A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</w:t>
      </w:r>
      <w:r w:rsidRPr="000B0D5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истема (подсистема) защиты персональных данных</w:t>
      </w:r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строится на основании регулярных внутренних проверок состава </w:t>
      </w:r>
      <w:r w:rsidRPr="000B0D5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персональны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х</w:t>
      </w:r>
      <w:r w:rsidRPr="000B0D5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данны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х (</w:t>
      </w: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ПДн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</w:t>
      </w:r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, соответствия уровня защиты составу </w:t>
      </w: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ПДн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, выявления угроз безопасности. Для достижения необходимого уровня безопасности выполняются плановые обучающие, административные и техничес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кие мероприятия. В составе СЗПД</w:t>
      </w:r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действуют следующие стандартные подсистемы:</w:t>
      </w:r>
    </w:p>
    <w:p w:rsidR="00735F9A" w:rsidRPr="00BB1965" w:rsidRDefault="00735F9A" w:rsidP="00735F9A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735F9A" w:rsidRPr="00BB1965" w:rsidRDefault="00735F9A" w:rsidP="00735F9A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управления доступом, регистрации и учета;</w:t>
      </w:r>
    </w:p>
    <w:p w:rsidR="00735F9A" w:rsidRPr="00BB1965" w:rsidRDefault="00735F9A" w:rsidP="00735F9A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обеспечения целостности и доступности;</w:t>
      </w:r>
    </w:p>
    <w:p w:rsidR="00735F9A" w:rsidRPr="00BB1965" w:rsidRDefault="00735F9A" w:rsidP="00735F9A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антивирусной защиты;</w:t>
      </w:r>
    </w:p>
    <w:p w:rsidR="00735F9A" w:rsidRPr="00BB1965" w:rsidRDefault="00735F9A" w:rsidP="00735F9A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межсетевого экранирования;</w:t>
      </w:r>
    </w:p>
    <w:p w:rsidR="00735F9A" w:rsidRPr="00BB1965" w:rsidRDefault="00735F9A" w:rsidP="00735F9A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анализа защищенности;</w:t>
      </w:r>
    </w:p>
    <w:p w:rsidR="00735F9A" w:rsidRPr="00BB1965" w:rsidRDefault="00735F9A" w:rsidP="00735F9A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обнаружения вторжений;</w:t>
      </w:r>
    </w:p>
    <w:p w:rsidR="00735F9A" w:rsidRDefault="00735F9A" w:rsidP="00735F9A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криптографической защиты.</w:t>
      </w:r>
    </w:p>
    <w:p w:rsidR="00735F9A" w:rsidRDefault="00735F9A" w:rsidP="00735F9A">
      <w:pPr>
        <w:spacing w:after="0" w:line="240" w:lineRule="auto"/>
        <w:ind w:left="720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735F9A" w:rsidRPr="00735F9A" w:rsidRDefault="00735F9A" w:rsidP="00735F9A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  <w:shd w:val="clear" w:color="auto" w:fill="FFFFFF"/>
        </w:rPr>
      </w:pPr>
      <w:r w:rsidRPr="00735F9A"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  <w:shd w:val="clear" w:color="auto" w:fill="FFFFFF"/>
        </w:rPr>
        <w:t>Разработка мер защиты</w:t>
      </w:r>
    </w:p>
    <w:p w:rsidR="009E3352" w:rsidRDefault="009E3352" w:rsidP="009E335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bookmarkStart w:id="2" w:name="_Toc96692959"/>
      <w:bookmarkStart w:id="3" w:name="_Toc97297310"/>
      <w:r w:rsidRPr="001351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Проведение мероприятий, направленных на постоянное повышение осведомленности работников в области ИБ, должна являться одной из задач. Необходимо проведение периодического практического тестирования готовности работников к выполнению своих должностных обязанностей по защите информации. Конкретные требования по обеспечению ИБ должны быть внесены в должностные регламенты всех работнико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Pr="001351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в зависимости от их должностных обязанностей. Подбор, и порядок вступления в договорные и трудовые отношения и их расторжения, а также ежедневное выполнение работником его должностных обязанностей, должны соответствовать требованиям НПА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(н</w:t>
      </w:r>
      <w:r w:rsidRPr="00903A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ормативн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ого</w:t>
      </w:r>
      <w:r w:rsidRPr="00903A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правов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ого</w:t>
      </w:r>
      <w:r w:rsidRPr="00903A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акт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а) РБ</w:t>
      </w:r>
      <w:r w:rsidRPr="001351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Порядок допуска </w:t>
      </w:r>
      <w:r w:rsidRPr="001351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 xml:space="preserve">сотрудника к работе с информацией ограниченного доступа, порядок работы с такой информацией и порядок прекращения допуска к такой информации, должен соответствовать НПА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РБ</w:t>
      </w:r>
      <w:r w:rsidRPr="001351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В «Политику повышения осведомленности в области ИБ и кадровую политику» входят такие процедуры и процессы, как: </w:t>
      </w:r>
    </w:p>
    <w:p w:rsidR="009E3352" w:rsidRDefault="009E3352" w:rsidP="009E335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351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1) Требования до приема на работу </w:t>
      </w:r>
    </w:p>
    <w:p w:rsidR="009E3352" w:rsidRDefault="009E3352" w:rsidP="009E335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351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2) Требования при выполнении должностных обязанностей </w:t>
      </w:r>
    </w:p>
    <w:p w:rsidR="009E3352" w:rsidRDefault="009E3352" w:rsidP="009E335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351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 Требования при прекращении выполнения должностных обязанностей</w:t>
      </w:r>
    </w:p>
    <w:p w:rsidR="00096F69" w:rsidRPr="00E95384" w:rsidRDefault="00096F69" w:rsidP="00096F6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 Политика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безопасности</w:t>
      </w:r>
    </w:p>
    <w:p w:rsidR="00096F69" w:rsidRPr="00E95384" w:rsidRDefault="00096F69" w:rsidP="00096F6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.1 Сотрудники обязаны обеспечивать сохранность всей конфиденциальной/конфиденциальной информации в печатном или электронном виде на своем рабочем месте в конце рабочего дня и когда ожидается, что они будут отсутствовать в течение длительного периода.</w:t>
      </w:r>
    </w:p>
    <w:p w:rsidR="00096F69" w:rsidRPr="00E95384" w:rsidRDefault="00096F69" w:rsidP="00096F6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.2 Рабочие станции компьютеров должны быть заблокированы, когда рабочее пространство не занято.</w:t>
      </w:r>
    </w:p>
    <w:p w:rsidR="00096F69" w:rsidRPr="00E95384" w:rsidRDefault="00096F69" w:rsidP="00096F6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.3 Компьютерные рабочие станции должны быть полностью выключены в конце рабочего дня.</w:t>
      </w:r>
    </w:p>
    <w:p w:rsidR="00096F69" w:rsidRPr="00E95384" w:rsidRDefault="00096F69" w:rsidP="00096F6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.4 Любая ограниченная или конфиденциальная информация должна быть удалена со стола и заперта в ящике, когда стол свободен и в конце рабочего дня.</w:t>
      </w:r>
    </w:p>
    <w:p w:rsidR="00096F69" w:rsidRPr="00E95384" w:rsidRDefault="00096F69" w:rsidP="00096F6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.5 Картотечные шкафы, содержащие ограниченную или конфиденциальную информацию, должны храниться закрытыми и запертыми, когда они не используются </w:t>
      </w:r>
      <w:proofErr w:type="gramStart"/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или</w:t>
      </w:r>
      <w:proofErr w:type="gramEnd"/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когда их не посещают.</w:t>
      </w:r>
    </w:p>
    <w:p w:rsidR="00096F69" w:rsidRPr="00E95384" w:rsidRDefault="00096F69" w:rsidP="00096F6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1.6 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Ключи, используемые для доступа к закрытой или конфиденциальной информации, нельзя оставлять на столе без присмотра.</w:t>
      </w:r>
    </w:p>
    <w:p w:rsidR="00096F69" w:rsidRPr="00E95384" w:rsidRDefault="00096F69" w:rsidP="00096F6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.7 Ноутбуки должны быть либо заблокированы с помощью фиксирующего кабеля, либо заперты в ящике стола.</w:t>
      </w:r>
    </w:p>
    <w:p w:rsidR="00096F69" w:rsidRPr="00E95384" w:rsidRDefault="00096F69" w:rsidP="00096F6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.8 Пароли нельзя оставлять на </w:t>
      </w:r>
      <w:proofErr w:type="spellStart"/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стикерах</w:t>
      </w:r>
      <w:proofErr w:type="spellEnd"/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, размещенных на компьютере или под ним, а также оставлять записанными в доступном месте.</w:t>
      </w:r>
    </w:p>
    <w:p w:rsidR="00096F69" w:rsidRPr="00E95384" w:rsidRDefault="00096F69" w:rsidP="00096F6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.9 Распечатки, содержащие ограниченную или конфиденциальную информацию, должны быть немедленно удалены из принтера.</w:t>
      </w:r>
    </w:p>
    <w:p w:rsidR="00096F69" w:rsidRPr="00E95384" w:rsidRDefault="00096F69" w:rsidP="00096F6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.10 При утилизации Ограниченные и/ или конфиденциальные документы должны быть уничтожены в официальных контейнерах для измельчения или помещены в закрытые контейнеры для конфиденциальной утилизации.</w:t>
      </w:r>
    </w:p>
    <w:p w:rsidR="00096F69" w:rsidRPr="00E95384" w:rsidRDefault="00096F69" w:rsidP="00096F6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.11 Доски, содержащие ограниченную и/или конфиденциальную информацию, должны быть удалены.</w:t>
      </w:r>
    </w:p>
    <w:p w:rsidR="00096F69" w:rsidRPr="00E95384" w:rsidRDefault="00096F69" w:rsidP="00096F6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.12 Блокируйте портативные вычислительные устройства, такие как ноутбуки и планшеты.</w:t>
      </w:r>
    </w:p>
    <w:p w:rsidR="00096F69" w:rsidRPr="00E95384" w:rsidRDefault="00096F69" w:rsidP="00096F6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.13 Относитесь к устройствам хранения данных, таким как 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CDROM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, 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DVD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или 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USB</w:t>
      </w:r>
      <w:r w:rsidRPr="00E9538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-накопители, как к конфиденциальным и храните их в запертом ящике</w:t>
      </w:r>
    </w:p>
    <w:p w:rsidR="00096F69" w:rsidRDefault="00096F69" w:rsidP="009E335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9E3352" w:rsidRDefault="009E3352" w:rsidP="009E3352"/>
    <w:p w:rsidR="009E3352" w:rsidRDefault="009E3352" w:rsidP="009E3352">
      <w:pPr>
        <w:pStyle w:val="1"/>
        <w:spacing w:before="0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:rsidR="009E3352" w:rsidRDefault="009E3352" w:rsidP="009E33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352">
        <w:rPr>
          <w:rFonts w:ascii="Times New Roman" w:hAnsi="Times New Roman" w:cs="Times New Roman"/>
          <w:b/>
          <w:sz w:val="28"/>
          <w:szCs w:val="28"/>
        </w:rPr>
        <w:t>Вывод</w:t>
      </w:r>
      <w:bookmarkEnd w:id="2"/>
      <w:bookmarkEnd w:id="3"/>
      <w:r w:rsidRPr="009E3352">
        <w:rPr>
          <w:rFonts w:ascii="Times New Roman" w:hAnsi="Times New Roman" w:cs="Times New Roman"/>
          <w:b/>
          <w:sz w:val="28"/>
          <w:szCs w:val="28"/>
        </w:rPr>
        <w:t>ы</w:t>
      </w:r>
    </w:p>
    <w:p w:rsidR="009E3352" w:rsidRPr="00DC79D4" w:rsidRDefault="009E3352" w:rsidP="009E3352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DC79D4">
        <w:rPr>
          <w:rFonts w:ascii="Times New Roman" w:hAnsi="Times New Roman"/>
          <w:color w:val="000000"/>
          <w:sz w:val="28"/>
          <w:szCs w:val="28"/>
        </w:rPr>
        <w:t xml:space="preserve">Система информационной безопасности (СИБ) окажется эффективной, если она будет надежно поддерживать выполнение правил политики безопасности, и наоборот. </w:t>
      </w:r>
    </w:p>
    <w:p w:rsidR="009E3352" w:rsidRPr="00DC79D4" w:rsidRDefault="009E3352" w:rsidP="009E3352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DC79D4">
        <w:rPr>
          <w:rFonts w:ascii="Times New Roman" w:hAnsi="Times New Roman"/>
          <w:color w:val="000000"/>
          <w:sz w:val="28"/>
          <w:szCs w:val="28"/>
        </w:rPr>
        <w:t xml:space="preserve">Этапы построения политики безопасности – это внесение в описание объекта автоматизации структуры ценности и проведение анализа риска, и определение правил для любого процесса пользования данным видом доступа к ресурсам объекта автоматизации, имеющим данную степень ценности. </w:t>
      </w:r>
    </w:p>
    <w:p w:rsidR="009E3352" w:rsidRPr="00DC79D4" w:rsidRDefault="009E3352" w:rsidP="009E3352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DC79D4">
        <w:rPr>
          <w:rFonts w:ascii="Times New Roman" w:hAnsi="Times New Roman"/>
          <w:color w:val="000000"/>
          <w:sz w:val="28"/>
          <w:szCs w:val="28"/>
        </w:rPr>
        <w:t>Опыт показывает, что для достижения удачных решений по защите информации кампаний необходимо сочетание правовых, организационных и технических мер. Это сочетание определяется конфиденциальностью защищаемой информации, характером опасности и наличием средств защиты. В общем случае технические меры безопасности составляют незначительную часть от общих мер защиты (правовых и организационных). Однако ни одну из них упускать нельзя. Каждая мера дополняет другую, и недостаток или отсутствие любого способа приведёт к нарушению защищённости.</w:t>
      </w:r>
    </w:p>
    <w:p w:rsidR="009E3352" w:rsidRPr="009E3352" w:rsidRDefault="009E3352" w:rsidP="009E3352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79D4">
        <w:rPr>
          <w:rFonts w:ascii="Times New Roman" w:hAnsi="Times New Roman"/>
          <w:color w:val="000000"/>
          <w:sz w:val="28"/>
          <w:szCs w:val="28"/>
        </w:rPr>
        <w:t>Особое внимание при оценке эффективности системы защиты техническими средствами необходимо обратить на их надёжность и безотказность. При их эксплуатации имеют место поломки, сбои, отказы, вследствие чего они не обеспечивают выполнение задачи защиты. Отсюда задача обеспечения надлежащей надёжности технических средств обретает значительную важность, так как уровень, качество и безопасность защиты находятся в прямой зависимости от надёжности технических средств.</w:t>
      </w:r>
    </w:p>
    <w:p w:rsidR="009E3352" w:rsidRPr="00735F9A" w:rsidRDefault="009E3352" w:rsidP="00735F9A">
      <w:pPr>
        <w:spacing w:after="0" w:line="276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E3352" w:rsidRPr="00735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11CEA"/>
    <w:multiLevelType w:val="multilevel"/>
    <w:tmpl w:val="EE1C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E3F6A"/>
    <w:multiLevelType w:val="hybridMultilevel"/>
    <w:tmpl w:val="F288D24E"/>
    <w:lvl w:ilvl="0" w:tplc="00C046DC">
      <w:start w:val="1"/>
      <w:numFmt w:val="bullet"/>
      <w:lvlText w:val="-"/>
      <w:lvlJc w:val="left"/>
      <w:pPr>
        <w:ind w:left="765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C4F01FC"/>
    <w:multiLevelType w:val="hybridMultilevel"/>
    <w:tmpl w:val="997A5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D9E3D7D"/>
    <w:multiLevelType w:val="multilevel"/>
    <w:tmpl w:val="576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2244E"/>
    <w:multiLevelType w:val="hybridMultilevel"/>
    <w:tmpl w:val="D8AA784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F80C67"/>
    <w:multiLevelType w:val="multilevel"/>
    <w:tmpl w:val="E4EE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8528A"/>
    <w:multiLevelType w:val="multilevel"/>
    <w:tmpl w:val="706C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AF"/>
    <w:rsid w:val="00096F69"/>
    <w:rsid w:val="003808FD"/>
    <w:rsid w:val="004042AF"/>
    <w:rsid w:val="006E7D1A"/>
    <w:rsid w:val="00735F9A"/>
    <w:rsid w:val="009E3352"/>
    <w:rsid w:val="00A0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DD2D"/>
  <w15:chartTrackingRefBased/>
  <w15:docId w15:val="{352A67CB-2AA8-448E-A98D-84937055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3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04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4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042A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0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aliases w:val="подрисуночная подпись"/>
    <w:basedOn w:val="a"/>
    <w:link w:val="a6"/>
    <w:uiPriority w:val="34"/>
    <w:qFormat/>
    <w:rsid w:val="006E7D1A"/>
    <w:pPr>
      <w:spacing w:after="200" w:line="276" w:lineRule="auto"/>
      <w:ind w:left="720"/>
      <w:contextualSpacing/>
    </w:pPr>
  </w:style>
  <w:style w:type="character" w:customStyle="1" w:styleId="a6">
    <w:name w:val="Абзац списка Знак"/>
    <w:aliases w:val="подрисуночная подпись Знак"/>
    <w:basedOn w:val="a0"/>
    <w:link w:val="a5"/>
    <w:uiPriority w:val="34"/>
    <w:locked/>
    <w:rsid w:val="006E7D1A"/>
  </w:style>
  <w:style w:type="character" w:customStyle="1" w:styleId="10">
    <w:name w:val="Заголовок 1 Знак"/>
    <w:basedOn w:val="a0"/>
    <w:link w:val="1"/>
    <w:uiPriority w:val="9"/>
    <w:rsid w:val="009E3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9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2022-10-10T15:52:00Z</dcterms:created>
  <dcterms:modified xsi:type="dcterms:W3CDTF">2022-10-10T17:13:00Z</dcterms:modified>
</cp:coreProperties>
</file>