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63382A7" w:rsidR="00F14177" w:rsidRPr="00887168" w:rsidRDefault="00F14177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7CC2E621" w:rsidR="00DD5F8E" w:rsidRPr="00887168" w:rsidRDefault="00DD5F8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1DC2102D" w:rsidR="00A108AC" w:rsidRPr="00887168" w:rsidRDefault="00A108AC" w:rsidP="0056176D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8762D9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DC8853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8762D9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8762D9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22DFBB82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24527DB5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FE02206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8762D9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16FC07E0" w:rsidR="002F1508" w:rsidRPr="00887168" w:rsidRDefault="002F1508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42BDAE53" w:rsidR="00417549" w:rsidRPr="00887168" w:rsidRDefault="00417549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8762D9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62446FE8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09361079" w:rsidR="005C30AE" w:rsidRPr="00887168" w:rsidRDefault="005C30AE" w:rsidP="00081587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8762D9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8762D9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8762D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8762D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8762D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8762D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8762D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8762D9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8762D9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8762D9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8762D9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8762D9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CE90395" w:rsidR="00700CFA" w:rsidRPr="00887168" w:rsidRDefault="00700CFA" w:rsidP="00AC7A5C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EA4301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8762D9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1B9E21AE" w:rsidR="00700CFA" w:rsidRPr="00887168" w:rsidRDefault="00700CFA" w:rsidP="00AC7A5C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8762D9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6CF3C6B" w:rsidR="00700CFA" w:rsidRPr="00887168" w:rsidRDefault="00700CFA" w:rsidP="00AC7A5C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67787942" w:rsidR="008C386D" w:rsidRPr="00887168" w:rsidRDefault="008C386D" w:rsidP="00AC7A5C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1E4087A3" w:rsidR="00AA7B62" w:rsidRPr="00887168" w:rsidRDefault="00AA7B62" w:rsidP="00AC7A5C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069078A5" w:rsidR="00165D54" w:rsidRPr="00887168" w:rsidRDefault="00165D54" w:rsidP="00AC7A5C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8762D9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42902CDE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8762D9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11A124AA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637CC1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8762D9" w:rsidP="00637C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656C04D4" w:rsidR="0084727B" w:rsidRPr="00887168" w:rsidRDefault="0084727B" w:rsidP="00637CC1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8762D9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3413EE5D" w:rsidR="00755F52" w:rsidRPr="00887168" w:rsidRDefault="00755F52" w:rsidP="004848F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8762D9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2465F057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8762D9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21A529BD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3A50EBB7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8762D9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055B7322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4C83F9B8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0F4AB975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24</w:t>
      </w:r>
      <w:r w:rsidR="00EA4301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8762D9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72C74A1A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8762D9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075B4200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8762D9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38A8E3AA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8762D9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3EB0F492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8762D9" w:rsidP="009D1C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139CF3A9" w:rsidR="001E3CA8" w:rsidRPr="00A51A05" w:rsidRDefault="001E3C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2006B017" w:rsidR="000D1B3F" w:rsidRPr="00A51A05" w:rsidRDefault="000D1B3F" w:rsidP="00ED39FF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2A0D3B5" w:rsidR="00EA4A40" w:rsidRPr="00A51A05" w:rsidRDefault="00EA4A40" w:rsidP="00ED39F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189E5F62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8EB0CB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2B8F4F2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5DC5E6C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2C63616A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7CF6689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AD233C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8762D9" w:rsidP="00AD23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68776B78" w:rsidR="00FA13B3" w:rsidRPr="00A51A05" w:rsidRDefault="00FA13B3" w:rsidP="00AD23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8762D9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9772D9D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8762D9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43FA6455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8762D9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27628B40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EA4301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8762D9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7C68CABD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4301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8762D9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987252F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4301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29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7ACC92F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7BF9158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3EBABEE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commentRangeEnd w:id="29"/>
    <w:p w14:paraId="7025B4BA" w14:textId="2E7770E4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29"/>
      </w:r>
      <w:r w:rsidR="00BF1BAD"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8762D9" w:rsidP="009D1C3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6DE8CCA" w:rsidR="005102A8" w:rsidRPr="00A51A05" w:rsidRDefault="005102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79596784" w14:textId="2EC45E37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30</w:t>
      </w:r>
      <w:r w:rsidR="00EA4301" w:rsidRPr="00EA4301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8762D9" w:rsidP="00ED39F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474EB20C" w:rsidR="005D1A28" w:rsidRPr="00A51A05" w:rsidRDefault="005D1A28" w:rsidP="00ED39FF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8762D9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BEF2504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8762D9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7C16864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596B0373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3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3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8762D9" w:rsidP="001B2769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3B82470F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4301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3290BF9A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EA4301" w:rsidRPr="00887168">
        <w:t>(</w:t>
      </w:r>
      <w:r w:rsidR="00EA4301">
        <w:rPr>
          <w:noProof/>
        </w:rPr>
        <w:t>10</w:t>
      </w:r>
      <w:r w:rsidR="00EA4301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EA4301" w:rsidRPr="00887168">
        <w:t>(</w:t>
      </w:r>
      <w:r w:rsidR="00EA4301">
        <w:rPr>
          <w:noProof/>
        </w:rPr>
        <w:t>15</w:t>
      </w:r>
      <w:r w:rsidR="00EA4301" w:rsidRPr="00887168">
        <w:t>)</w:t>
      </w:r>
      <w:r w:rsidR="00816303">
        <w:fldChar w:fldCharType="end"/>
      </w:r>
    </w:p>
    <w:p w14:paraId="57E1DD11" w14:textId="454EC26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25</w:t>
      </w:r>
      <w:r w:rsidR="00EA4301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EA4301" w:rsidRPr="00A51A05">
        <w:rPr>
          <w:rFonts w:ascii="Cambria Math" w:hAnsi="Cambria Math"/>
          <w:lang w:val="en-US"/>
        </w:rPr>
        <w:t>(</w:t>
      </w:r>
      <w:r w:rsidR="00EA4301">
        <w:rPr>
          <w:rFonts w:ascii="Cambria Math" w:hAnsi="Cambria Math"/>
          <w:noProof/>
          <w:lang w:val="en-US"/>
        </w:rPr>
        <w:t>29</w:t>
      </w:r>
      <w:r w:rsidR="00EA4301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3E0F553B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16</w:t>
      </w:r>
      <w:r w:rsidR="00EA4301" w:rsidRPr="00EA4301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EA4301" w:rsidRPr="00887168">
        <w:t>(</w:t>
      </w:r>
      <w:r w:rsidR="00EA4301">
        <w:rPr>
          <w:noProof/>
        </w:rPr>
        <w:t>23</w:t>
      </w:r>
      <w:r w:rsidR="00EA4301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9DDE2B1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EA4301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33</w:t>
      </w:r>
      <w:r w:rsidR="00EA4301" w:rsidRPr="00EA4301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37</w:t>
      </w:r>
      <w:r w:rsidR="00EA4301" w:rsidRPr="00EA4301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41DEB328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EA4301" w:rsidRPr="00887168">
        <w:t>(</w:t>
      </w:r>
      <w:r w:rsidR="00EA4301">
        <w:rPr>
          <w:noProof/>
        </w:rPr>
        <w:t>5</w:t>
      </w:r>
      <w:r w:rsidR="00EA4301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EA4301" w:rsidRPr="00887168">
        <w:t>(</w:t>
      </w:r>
      <w:r w:rsidR="00EA4301">
        <w:rPr>
          <w:noProof/>
        </w:rPr>
        <w:t>9</w:t>
      </w:r>
      <w:r w:rsidR="00EA4301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2B62729D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EA4301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38</w:t>
      </w:r>
      <w:r w:rsidR="00EA4301" w:rsidRPr="00EA4301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EA4301" w:rsidRPr="00887168">
        <w:t>(</w:t>
      </w:r>
      <w:r w:rsidR="00EA4301">
        <w:rPr>
          <w:noProof/>
        </w:rPr>
        <w:t>40</w:t>
      </w:r>
      <w:r w:rsidR="00EA4301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EA4301" w:rsidRPr="00887168">
        <w:t>(</w:t>
      </w:r>
      <w:r w:rsidR="00EA4301">
        <w:rPr>
          <w:noProof/>
        </w:rPr>
        <w:t>41</w:t>
      </w:r>
      <w:r w:rsidR="00EA4301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46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47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48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EA4301" w:rsidRPr="00EA4301">
        <w:rPr>
          <w:rFonts w:ascii="Cambria Math" w:hAnsi="Cambria Math"/>
        </w:rPr>
        <w:t>(</w:t>
      </w:r>
      <w:r w:rsidR="00EA4301" w:rsidRPr="00EA4301">
        <w:rPr>
          <w:rFonts w:ascii="Cambria Math" w:hAnsi="Cambria Math"/>
          <w:noProof/>
        </w:rPr>
        <w:t>51</w:t>
      </w:r>
      <w:r w:rsidR="00EA4301" w:rsidRPr="00EA4301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3C386FF8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EA4301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9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378C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6A8CE" w14:textId="77777777" w:rsidR="00244507" w:rsidRDefault="00244507" w:rsidP="00332470">
      <w:pPr>
        <w:pStyle w:val="af1"/>
      </w:pPr>
      <w:r>
        <w:separator/>
      </w:r>
    </w:p>
  </w:endnote>
  <w:endnote w:type="continuationSeparator" w:id="0">
    <w:p w14:paraId="715389F4" w14:textId="77777777" w:rsidR="00244507" w:rsidRDefault="00244507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8C2F3" w14:textId="77777777" w:rsidR="00244507" w:rsidRDefault="00244507" w:rsidP="00332470">
      <w:pPr>
        <w:pStyle w:val="af1"/>
      </w:pPr>
      <w:r>
        <w:separator/>
      </w:r>
    </w:p>
  </w:footnote>
  <w:footnote w:type="continuationSeparator" w:id="0">
    <w:p w14:paraId="6D523CA5" w14:textId="77777777" w:rsidR="00244507" w:rsidRDefault="00244507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683</TotalTime>
  <Pages>22</Pages>
  <Words>2208</Words>
  <Characters>18342</Characters>
  <Application>Microsoft Office Word</Application>
  <DocSecurity>0</DocSecurity>
  <Lines>152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212</cp:revision>
  <cp:lastPrinted>2010-03-17T07:48:00Z</cp:lastPrinted>
  <dcterms:created xsi:type="dcterms:W3CDTF">2020-10-24T14:54:00Z</dcterms:created>
  <dcterms:modified xsi:type="dcterms:W3CDTF">2020-10-31T08:28:00Z</dcterms:modified>
</cp:coreProperties>
</file>