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b/>
          <w:color w:val="1A1A2E"/>
          <w:sz w:val="72"/>
        </w:rPr>
        <w:t>🎓 StudySync</w:t>
      </w:r>
    </w:p>
    <w:p>
      <w:pPr>
        <w:pStyle w:val="Heading2"/>
        <w:jc w:val="center"/>
      </w:pPr>
      <w:r>
        <w:rPr>
          <w:b w:val="0"/>
          <w:color w:val="555588"/>
          <w:sz w:val="36"/>
        </w:rPr>
        <w:t>UX Research &amp; Design Diagrams</w:t>
      </w:r>
    </w:p>
    <w:p/>
    <w:p>
      <w:pPr>
        <w:jc w:val="center"/>
      </w:pPr>
      <w:r>
        <w:rPr>
          <w:i/>
          <w:color w:val="666666"/>
          <w:sz w:val="24"/>
        </w:rPr>
        <w:t>Modern Academic Class Coordination &amp; Productivity Command Center</w:t>
      </w:r>
    </w:p>
    <w:p/>
    <w:tbl>
      <w:tblPr>
        <w:tblW w:type="auto" w:w="0"/>
        <w:jc w:val="center"/>
        <w:tblLook w:firstColumn="1" w:firstRow="1" w:lastColumn="0" w:lastRow="0" w:noHBand="0" w:noVBand="1" w:val="04A0"/>
      </w:tblPr>
      <w:tblGrid>
        <w:gridCol w:w="4873"/>
        <w:gridCol w:w="4873"/>
      </w:tblGrid>
      <w:tr>
        <w:tc>
          <w:tcPr>
            <w:tcW w:type="dxa" w:w="4873"/>
            <w:shd w:fill="EEEEF5" w:val="clear"/>
            <w:tcBorders>
              <w:top w:val="single" w:sz="4" w:space="0" w:color="CCCCDD"/>
              <w:left w:val="single" w:sz="4" w:space="0" w:color="CCCCDD"/>
              <w:bottom w:val="single" w:sz="4" w:space="0" w:color="CCCCDD"/>
              <w:right w:val="single" w:sz="4" w:space="0" w:color="CCCCDD"/>
            </w:tcBorders>
          </w:tcPr>
          <w:p>
            <w:r/>
            <w:r>
              <w:rPr>
                <w:b/>
                <w:color w:val="1A1A2E"/>
                <w:sz w:val="20"/>
              </w:rPr>
              <w:t>Project</w:t>
            </w:r>
          </w:p>
        </w:tc>
        <w:tc>
          <w:tcPr>
            <w:tcW w:type="dxa" w:w="4873"/>
            <w:shd w:fill="FFFFFF" w:val="clear"/>
            <w:tcBorders>
              <w:top w:val="single" w:sz="4" w:space="0" w:color="CCCCDD"/>
              <w:left w:val="single" w:sz="4" w:space="0" w:color="CCCCDD"/>
              <w:bottom w:val="single" w:sz="4" w:space="0" w:color="CCCCDD"/>
              <w:right w:val="single" w:sz="4" w:space="0" w:color="CCCCDD"/>
            </w:tcBorders>
          </w:tcPr>
          <w:p>
            <w:r/>
            <w:r>
              <w:rPr>
                <w:color w:val="444444"/>
                <w:sz w:val="20"/>
              </w:rPr>
              <w:t>StudySync — Academic Coordination Platform</w:t>
            </w:r>
          </w:p>
        </w:tc>
      </w:tr>
      <w:tr>
        <w:tc>
          <w:tcPr>
            <w:tcW w:type="dxa" w:w="4873"/>
            <w:shd w:fill="EEEEF5" w:val="clear"/>
            <w:tcBorders>
              <w:top w:val="single" w:sz="4" w:space="0" w:color="CCCCDD"/>
              <w:left w:val="single" w:sz="4" w:space="0" w:color="CCCCDD"/>
              <w:bottom w:val="single" w:sz="4" w:space="0" w:color="CCCCDD"/>
              <w:right w:val="single" w:sz="4" w:space="0" w:color="CCCCDD"/>
            </w:tcBorders>
          </w:tcPr>
          <w:p>
            <w:r/>
            <w:r>
              <w:rPr>
                <w:b/>
                <w:color w:val="1A1A2E"/>
                <w:sz w:val="20"/>
              </w:rPr>
              <w:t>Personas</w:t>
            </w:r>
          </w:p>
        </w:tc>
        <w:tc>
          <w:tcPr>
            <w:tcW w:type="dxa" w:w="4873"/>
            <w:shd w:fill="FFFFFF" w:val="clear"/>
            <w:tcBorders>
              <w:top w:val="single" w:sz="4" w:space="0" w:color="CCCCDD"/>
              <w:left w:val="single" w:sz="4" w:space="0" w:color="CCCCDD"/>
              <w:bottom w:val="single" w:sz="4" w:space="0" w:color="CCCCDD"/>
              <w:right w:val="single" w:sz="4" w:space="0" w:color="CCCCDD"/>
            </w:tcBorders>
          </w:tcPr>
          <w:p>
            <w:r/>
            <w:r>
              <w:rPr>
                <w:color w:val="444444"/>
                <w:sz w:val="20"/>
              </w:rPr>
              <w:t>Core Faculty Incharge · Class Representative (CR) · Student Cohort (50 members)</w:t>
            </w:r>
          </w:p>
        </w:tc>
      </w:tr>
      <w:tr>
        <w:tc>
          <w:tcPr>
            <w:tcW w:type="dxa" w:w="4873"/>
            <w:shd w:fill="EEEEF5" w:val="clear"/>
            <w:tcBorders>
              <w:top w:val="single" w:sz="4" w:space="0" w:color="CCCCDD"/>
              <w:left w:val="single" w:sz="4" w:space="0" w:color="CCCCDD"/>
              <w:bottom w:val="single" w:sz="4" w:space="0" w:color="CCCCDD"/>
              <w:right w:val="single" w:sz="4" w:space="0" w:color="CCCCDD"/>
            </w:tcBorders>
          </w:tcPr>
          <w:p>
            <w:r/>
            <w:r>
              <w:rPr>
                <w:b/>
                <w:color w:val="1A1A2E"/>
                <w:sz w:val="20"/>
              </w:rPr>
              <w:t>Tech Stack</w:t>
            </w:r>
          </w:p>
        </w:tc>
        <w:tc>
          <w:tcPr>
            <w:tcW w:type="dxa" w:w="4873"/>
            <w:shd w:fill="FFFFFF" w:val="clear"/>
            <w:tcBorders>
              <w:top w:val="single" w:sz="4" w:space="0" w:color="CCCCDD"/>
              <w:left w:val="single" w:sz="4" w:space="0" w:color="CCCCDD"/>
              <w:bottom w:val="single" w:sz="4" w:space="0" w:color="CCCCDD"/>
              <w:right w:val="single" w:sz="4" w:space="0" w:color="CCCCDD"/>
            </w:tcBorders>
          </w:tcPr>
          <w:p>
            <w:r/>
            <w:r>
              <w:rPr>
                <w:color w:val="444444"/>
                <w:sz w:val="20"/>
              </w:rPr>
              <w:t>React 19 · TypeScript 6.0 · Vite 6 · Tailwind CSS v4</w:t>
            </w:r>
          </w:p>
        </w:tc>
      </w:tr>
      <w:tr>
        <w:tc>
          <w:tcPr>
            <w:tcW w:type="dxa" w:w="4873"/>
            <w:shd w:fill="EEEEF5" w:val="clear"/>
            <w:tcBorders>
              <w:top w:val="single" w:sz="4" w:space="0" w:color="CCCCDD"/>
              <w:left w:val="single" w:sz="4" w:space="0" w:color="CCCCDD"/>
              <w:bottom w:val="single" w:sz="4" w:space="0" w:color="CCCCDD"/>
              <w:right w:val="single" w:sz="4" w:space="0" w:color="CCCCDD"/>
            </w:tcBorders>
          </w:tcPr>
          <w:p>
            <w:r/>
            <w:r>
              <w:rPr>
                <w:b/>
                <w:color w:val="1A1A2E"/>
                <w:sz w:val="20"/>
              </w:rPr>
              <w:t>Repository</w:t>
            </w:r>
          </w:p>
        </w:tc>
        <w:tc>
          <w:tcPr>
            <w:tcW w:type="dxa" w:w="4873"/>
            <w:shd w:fill="FFFFFF" w:val="clear"/>
            <w:tcBorders>
              <w:top w:val="single" w:sz="4" w:space="0" w:color="CCCCDD"/>
              <w:left w:val="single" w:sz="4" w:space="0" w:color="CCCCDD"/>
              <w:bottom w:val="single" w:sz="4" w:space="0" w:color="CCCCDD"/>
              <w:right w:val="single" w:sz="4" w:space="0" w:color="CCCCDD"/>
            </w:tcBorders>
          </w:tcPr>
          <w:p>
            <w:r/>
            <w:r>
              <w:rPr>
                <w:color w:val="444444"/>
                <w:sz w:val="20"/>
              </w:rPr>
              <w:t>github.com/bash30ribs/studysync</w:t>
            </w:r>
          </w:p>
        </w:tc>
      </w:tr>
    </w:tbl>
    <w:p/>
    <w:p/>
    <w:p>
      <w:pPr>
        <w:jc w:val="center"/>
      </w:pPr>
      <w:r>
        <w:rPr>
          <w:color w:val="CCCCDD"/>
          <w:sz w:val="16"/>
        </w:rPr>
        <w:t>━━━━━━━━━━━━━━━━━━━━━━━━━━━━━━━━━━━━━━━━━━━━━━━━━━</w:t>
      </w:r>
    </w:p>
    <w:p/>
    <w:p>
      <w:pPr>
        <w:pStyle w:val="Heading2"/>
      </w:pPr>
      <w:r>
        <w:rPr>
          <w:color w:val="1A1A2E"/>
        </w:rPr>
        <w:t>Table of Contents</w:t>
      </w:r>
    </w:p>
    <w:p>
      <w:r>
        <w:rPr>
          <w:color w:val="333355"/>
          <w:sz w:val="22"/>
        </w:rPr>
        <w:t>1.  Empathy Map — Student Persona</w:t>
      </w:r>
    </w:p>
    <w:p>
      <w:r>
        <w:rPr>
          <w:color w:val="333355"/>
          <w:sz w:val="22"/>
        </w:rPr>
        <w:t>2.  Fishbone Diagram (Ishikawa / Cause-and-Effect)</w:t>
      </w:r>
    </w:p>
    <w:p>
      <w:r>
        <w:rPr>
          <w:color w:val="333355"/>
          <w:sz w:val="22"/>
        </w:rPr>
        <w:t>3.  Student Journey Map</w:t>
      </w:r>
    </w:p>
    <w:p>
      <w:r>
        <w:rPr>
          <w:color w:val="333355"/>
          <w:sz w:val="22"/>
        </w:rPr>
        <w:t>4.  CR &amp; Faculty Incharge Journey Map</w:t>
      </w:r>
    </w:p>
    <w:p>
      <w:r>
        <w:br w:type="page"/>
      </w:r>
    </w:p>
    <w:p>
      <w:pPr>
        <w:pStyle w:val="Heading1"/>
      </w:pPr>
      <w:r>
        <w:rPr>
          <w:color w:val="1A1A2E"/>
        </w:rPr>
        <w:t>1. Empathy Map — Student Persona</w:t>
      </w:r>
    </w:p>
    <w:p>
      <w:r>
        <w:rPr>
          <w:color w:val="444444"/>
          <w:sz w:val="21"/>
        </w:rPr>
        <w:t>The Empathy Map captures the student persona's internal thoughts, emotional states, verbal expressions, and observable behaviors. It reveals the core pains and gains that StudySync directly addresses through its unified coordination platform.</w:t>
      </w:r>
    </w:p>
    <w:p>
      <w:pPr>
        <w:jc w:val="center"/>
      </w:pPr>
      <w:r>
        <w:drawing>
          <wp:inline xmlns:a="http://schemas.openxmlformats.org/drawingml/2006/main" xmlns:pic="http://schemas.openxmlformats.org/drawingml/2006/picture">
            <wp:extent cx="5669280" cy="4233062"/>
            <wp:docPr id="1" name="Picture 1"/>
            <wp:cNvGraphicFramePr>
              <a:graphicFrameLocks noChangeAspect="1"/>
            </wp:cNvGraphicFramePr>
            <a:graphic>
              <a:graphicData uri="http://schemas.openxmlformats.org/drawingml/2006/picture">
                <pic:pic>
                  <pic:nvPicPr>
                    <pic:cNvPr id="0" name="empathy_map.jpg"/>
                    <pic:cNvPicPr/>
                  </pic:nvPicPr>
                  <pic:blipFill>
                    <a:blip r:embed="rId9"/>
                    <a:stretch>
                      <a:fillRect/>
                    </a:stretch>
                  </pic:blipFill>
                  <pic:spPr>
                    <a:xfrm>
                      <a:off x="0" y="0"/>
                      <a:ext cx="5669280" cy="4233062"/>
                    </a:xfrm>
                    <a:prstGeom prst="rect"/>
                  </pic:spPr>
                </pic:pic>
              </a:graphicData>
            </a:graphic>
          </wp:inline>
        </w:drawing>
      </w:r>
    </w:p>
    <w:tbl>
      <w:tblPr>
        <w:tblW w:type="auto" w:w="0"/>
        <w:jc w:val="center"/>
        <w:tblLayout w:type="autofit"/>
        <w:tblLook w:firstColumn="1" w:firstRow="1" w:lastColumn="0" w:lastRow="0" w:noHBand="0" w:noVBand="1" w:val="04A0"/>
      </w:tblPr>
      <w:tblGrid>
        <w:gridCol w:w="4873"/>
        <w:gridCol w:w="4873"/>
      </w:tblGrid>
      <w:tr>
        <w:tc>
          <w:tcPr>
            <w:tcW w:type="dxa" w:w="4873"/>
            <w:shd w:fill="1A1A2E" w:val="clear"/>
            <w:tcBorders>
              <w:top w:val="single" w:sz="4" w:space="0" w:color="555555"/>
              <w:left w:val="single" w:sz="4" w:space="0" w:color="555555"/>
              <w:bottom w:val="single" w:sz="4" w:space="0" w:color="555555"/>
              <w:right w:val="single" w:sz="4" w:space="0" w:color="555555"/>
            </w:tcBorders>
          </w:tcPr>
          <w:p>
            <w:pPr>
              <w:jc w:val="left"/>
            </w:pPr>
            <w:r/>
            <w:r>
              <w:rPr>
                <w:b/>
                <w:color w:val="FFFFFF"/>
                <w:sz w:val="18"/>
              </w:rPr>
              <w:t>Quadrant</w:t>
            </w:r>
          </w:p>
        </w:tc>
        <w:tc>
          <w:tcPr>
            <w:tcW w:type="dxa" w:w="4873"/>
            <w:shd w:fill="1A1A2E" w:val="clear"/>
            <w:tcBorders>
              <w:top w:val="single" w:sz="4" w:space="0" w:color="555555"/>
              <w:left w:val="single" w:sz="4" w:space="0" w:color="555555"/>
              <w:bottom w:val="single" w:sz="4" w:space="0" w:color="555555"/>
              <w:right w:val="single" w:sz="4" w:space="0" w:color="555555"/>
            </w:tcBorders>
          </w:tcPr>
          <w:p>
            <w:pPr>
              <w:jc w:val="left"/>
            </w:pPr>
            <w:r/>
            <w:r>
              <w:rPr>
                <w:b/>
                <w:color w:val="FFFFFF"/>
                <w:sz w:val="18"/>
              </w:rPr>
              <w:t>Key Insights</w:t>
            </w:r>
          </w:p>
        </w:tc>
      </w:tr>
      <w:tr>
        <w:tc>
          <w:tcPr>
            <w:tcW w:type="dxa" w:w="4873"/>
            <w:shd w:fill="F8F8FC" w:val="clear"/>
            <w:tcBorders>
              <w:top w:val="single" w:sz="4" w:space="0" w:color="CCCCCC"/>
              <w:left w:val="single" w:sz="4" w:space="0" w:color="CCCCCC"/>
              <w:bottom w:val="single" w:sz="4" w:space="0" w:color="CCCCCC"/>
              <w:right w:val="single" w:sz="4" w:space="0" w:color="CCCCCC"/>
            </w:tcBorders>
          </w:tcPr>
          <w:p>
            <w:pPr>
              <w:jc w:val="left"/>
            </w:pPr>
            <w:r/>
            <w:r>
              <w:rPr>
                <w:b/>
                <w:color w:val="1A1A2E"/>
                <w:sz w:val="18"/>
              </w:rPr>
              <w:t>THINKS</w:t>
            </w:r>
          </w:p>
        </w:tc>
        <w:tc>
          <w:tcPr>
            <w:tcW w:type="dxa" w:w="4873"/>
            <w:shd w:fill="F8F8FC"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"Am I falling behind on assignments?", "Will I miss the deadline?", "How can I track my attendance?", "I need to improve my grades"</w:t>
            </w:r>
          </w:p>
        </w:tc>
      </w:tr>
      <w:tr>
        <w:tc>
          <w:tcPr>
            <w:tcW w:type="dxa" w:w="4873"/>
            <w:shd w:fill="FFFFFF" w:val="clear"/>
            <w:tcBorders>
              <w:top w:val="single" w:sz="4" w:space="0" w:color="CCCCCC"/>
              <w:left w:val="single" w:sz="4" w:space="0" w:color="CCCCCC"/>
              <w:bottom w:val="single" w:sz="4" w:space="0" w:color="CCCCCC"/>
              <w:right w:val="single" w:sz="4" w:space="0" w:color="CCCCCC"/>
            </w:tcBorders>
          </w:tcPr>
          <w:p>
            <w:pPr>
              <w:jc w:val="left"/>
            </w:pPr>
            <w:r/>
            <w:r>
              <w:rPr>
                <w:b/>
                <w:color w:val="1A1A2E"/>
                <w:sz w:val="18"/>
              </w:rPr>
              <w:t>FEELS</w:t>
            </w:r>
          </w:p>
        </w:tc>
        <w:tc>
          <w:tcPr>
            <w:tcW w:type="dxa" w:w="4873"/>
            <w:shd w:fill="FFFFFF"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Anxious about deadlines, overwhelmed by multiple subjects, motivated when streaks are maintained, relieved when submissions are confirmed</w:t>
            </w:r>
          </w:p>
        </w:tc>
      </w:tr>
      <w:tr>
        <w:tc>
          <w:tcPr>
            <w:tcW w:type="dxa" w:w="4873"/>
            <w:shd w:fill="F8F8FC" w:val="clear"/>
            <w:tcBorders>
              <w:top w:val="single" w:sz="4" w:space="0" w:color="CCCCCC"/>
              <w:left w:val="single" w:sz="4" w:space="0" w:color="CCCCCC"/>
              <w:bottom w:val="single" w:sz="4" w:space="0" w:color="CCCCCC"/>
              <w:right w:val="single" w:sz="4" w:space="0" w:color="CCCCCC"/>
            </w:tcBorders>
          </w:tcPr>
          <w:p>
            <w:pPr>
              <w:jc w:val="left"/>
            </w:pPr>
            <w:r/>
            <w:r>
              <w:rPr>
                <w:b/>
                <w:color w:val="1A1A2E"/>
                <w:sz w:val="18"/>
              </w:rPr>
              <w:t>SAYS</w:t>
            </w:r>
          </w:p>
        </w:tc>
        <w:tc>
          <w:tcPr>
            <w:tcW w:type="dxa" w:w="4873"/>
            <w:shd w:fill="F8F8FC"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"When is this assignment due?", "Did the CR post any updates?", "I need the study material", "Can someone share notes?"</w:t>
            </w:r>
          </w:p>
        </w:tc>
      </w:tr>
      <w:tr>
        <w:tc>
          <w:tcPr>
            <w:tcW w:type="dxa" w:w="4873"/>
            <w:shd w:fill="FFFFFF" w:val="clear"/>
            <w:tcBorders>
              <w:top w:val="single" w:sz="4" w:space="0" w:color="CCCCCC"/>
              <w:left w:val="single" w:sz="4" w:space="0" w:color="CCCCCC"/>
              <w:bottom w:val="single" w:sz="4" w:space="0" w:color="CCCCCC"/>
              <w:right w:val="single" w:sz="4" w:space="0" w:color="CCCCCC"/>
            </w:tcBorders>
          </w:tcPr>
          <w:p>
            <w:pPr>
              <w:jc w:val="left"/>
            </w:pPr>
            <w:r/>
            <w:r>
              <w:rPr>
                <w:b/>
                <w:color w:val="1A1A2E"/>
                <w:sz w:val="18"/>
              </w:rPr>
              <w:t>DOES</w:t>
            </w:r>
          </w:p>
        </w:tc>
        <w:tc>
          <w:tcPr>
            <w:tcW w:type="dxa" w:w="4873"/>
            <w:shd w:fill="FFFFFF"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Checks WhatsApp groups frantically, submits assignments last minute, asks classmates for deadline info, struggles to track attendance</w:t>
            </w:r>
          </w:p>
        </w:tc>
      </w:tr>
      <w:tr>
        <w:tc>
          <w:tcPr>
            <w:tcW w:type="dxa" w:w="4873"/>
            <w:shd w:fill="F8F8FC" w:val="clear"/>
            <w:tcBorders>
              <w:top w:val="single" w:sz="4" w:space="0" w:color="CCCCCC"/>
              <w:left w:val="single" w:sz="4" w:space="0" w:color="CCCCCC"/>
              <w:bottom w:val="single" w:sz="4" w:space="0" w:color="CCCCCC"/>
              <w:right w:val="single" w:sz="4" w:space="0" w:color="CCCCCC"/>
            </w:tcBorders>
          </w:tcPr>
          <w:p>
            <w:pPr>
              <w:jc w:val="left"/>
            </w:pPr>
            <w:r/>
            <w:r>
              <w:rPr>
                <w:b/>
                <w:color w:val="1A1A2E"/>
                <w:sz w:val="18"/>
              </w:rPr>
              <w:t>PAINS</w:t>
            </w:r>
          </w:p>
        </w:tc>
        <w:tc>
          <w:tcPr>
            <w:tcW w:type="dxa" w:w="4873"/>
            <w:shd w:fill="F8F8FC"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Fragmented communication channels, no centralized tracking system, deadline anxiety, no holistic growth visibility</w:t>
            </w:r>
          </w:p>
        </w:tc>
      </w:tr>
      <w:tr>
        <w:tc>
          <w:tcPr>
            <w:tcW w:type="dxa" w:w="4873"/>
            <w:shd w:fill="FFFFFF" w:val="clear"/>
            <w:tcBorders>
              <w:top w:val="single" w:sz="4" w:space="0" w:color="CCCCCC"/>
              <w:left w:val="single" w:sz="4" w:space="0" w:color="CCCCCC"/>
              <w:bottom w:val="single" w:sz="4" w:space="0" w:color="CCCCCC"/>
              <w:right w:val="single" w:sz="4" w:space="0" w:color="CCCCCC"/>
            </w:tcBorders>
          </w:tcPr>
          <w:p>
            <w:pPr>
              <w:jc w:val="left"/>
            </w:pPr>
            <w:r/>
            <w:r>
              <w:rPr>
                <w:b/>
                <w:color w:val="1A1A2E"/>
                <w:sz w:val="18"/>
              </w:rPr>
              <w:t>GAINS</w:t>
            </w:r>
          </w:p>
        </w:tc>
        <w:tc>
          <w:tcPr>
            <w:tcW w:type="dxa" w:w="4873"/>
            <w:shd w:fill="FFFFFF"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Real-time CR updates, automated deadline reminders, gamified streaks &amp; badges, AICTE accreditation tracking</w:t>
            </w:r>
          </w:p>
        </w:tc>
      </w:tr>
    </w:tbl>
    <w:p/>
    <w:p>
      <w:r>
        <w:br w:type="page"/>
      </w:r>
    </w:p>
    <w:p>
      <w:pPr>
        <w:pStyle w:val="Heading1"/>
      </w:pPr>
      <w:r>
        <w:rPr>
          <w:color w:val="1A1A2E"/>
        </w:rPr>
        <w:t>2. Fishbone Diagram (Ishikawa / Cause-and-Effect)</w:t>
      </w:r>
    </w:p>
    <w:p>
      <w:r>
        <w:rPr>
          <w:color w:val="444444"/>
          <w:sz w:val="21"/>
        </w:rPr>
        <w:t>The Fishbone (Ishikawa) Diagram performs a structured root-cause analysis of the central problem: "Poor Academic Coordination &amp; Missed Deadlines". Six major cause categories are identified, each with specific contributing factors that StudySync resolves.</w:t>
      </w:r>
    </w:p>
    <w:p>
      <w:pPr>
        <w:jc w:val="center"/>
      </w:pPr>
      <w:r>
        <w:drawing>
          <wp:inline xmlns:a="http://schemas.openxmlformats.org/drawingml/2006/main" xmlns:pic="http://schemas.openxmlformats.org/drawingml/2006/picture">
            <wp:extent cx="5669280" cy="3164249"/>
            <wp:docPr id="2" name="Picture 2"/>
            <wp:cNvGraphicFramePr>
              <a:graphicFrameLocks noChangeAspect="1"/>
            </wp:cNvGraphicFramePr>
            <a:graphic>
              <a:graphicData uri="http://schemas.openxmlformats.org/drawingml/2006/picture">
                <pic:pic>
                  <pic:nvPicPr>
                    <pic:cNvPr id="0" name="fishbone_diagram.jpg"/>
                    <pic:cNvPicPr/>
                  </pic:nvPicPr>
                  <pic:blipFill>
                    <a:blip r:embed="rId10"/>
                    <a:stretch>
                      <a:fillRect/>
                    </a:stretch>
                  </pic:blipFill>
                  <pic:spPr>
                    <a:xfrm>
                      <a:off x="0" y="0"/>
                      <a:ext cx="5669280" cy="3164249"/>
                    </a:xfrm>
                    <a:prstGeom prst="rect"/>
                  </pic:spPr>
                </pic:pic>
              </a:graphicData>
            </a:graphic>
          </wp:inline>
        </w:drawing>
      </w:r>
    </w:p>
    <w:tbl>
      <w:tblPr>
        <w:tblW w:type="auto" w:w="0"/>
        <w:jc w:val="center"/>
        <w:tblLayout w:type="autofit"/>
        <w:tblLook w:firstColumn="1" w:firstRow="1" w:lastColumn="0" w:lastRow="0" w:noHBand="0" w:noVBand="1" w:val="04A0"/>
      </w:tblPr>
      <w:tblGrid>
        <w:gridCol w:w="3249"/>
        <w:gridCol w:w="3249"/>
        <w:gridCol w:w="3249"/>
      </w:tblGrid>
      <w:tr>
        <w:tc>
          <w:tcPr>
            <w:tcW w:type="dxa" w:w="3249"/>
            <w:shd w:fill="1A1A2E" w:val="clear"/>
            <w:tcBorders>
              <w:top w:val="single" w:sz="4" w:space="0" w:color="555555"/>
              <w:left w:val="single" w:sz="4" w:space="0" w:color="555555"/>
              <w:bottom w:val="single" w:sz="4" w:space="0" w:color="555555"/>
              <w:right w:val="single" w:sz="4" w:space="0" w:color="555555"/>
            </w:tcBorders>
          </w:tcPr>
          <w:p>
            <w:pPr>
              <w:jc w:val="left"/>
            </w:pPr>
            <w:r/>
            <w:r>
              <w:rPr>
                <w:b/>
                <w:color w:val="FFFFFF"/>
                <w:sz w:val="18"/>
              </w:rPr>
              <w:t>Category</w:t>
            </w:r>
          </w:p>
        </w:tc>
        <w:tc>
          <w:tcPr>
            <w:tcW w:type="dxa" w:w="3249"/>
            <w:shd w:fill="1A1A2E" w:val="clear"/>
            <w:tcBorders>
              <w:top w:val="single" w:sz="4" w:space="0" w:color="555555"/>
              <w:left w:val="single" w:sz="4" w:space="0" w:color="555555"/>
              <w:bottom w:val="single" w:sz="4" w:space="0" w:color="555555"/>
              <w:right w:val="single" w:sz="4" w:space="0" w:color="555555"/>
            </w:tcBorders>
          </w:tcPr>
          <w:p>
            <w:pPr>
              <w:jc w:val="left"/>
            </w:pPr>
            <w:r/>
            <w:r>
              <w:rPr>
                <w:b/>
                <w:color w:val="FFFFFF"/>
                <w:sz w:val="18"/>
              </w:rPr>
              <w:t>Root Causes</w:t>
            </w:r>
          </w:p>
        </w:tc>
        <w:tc>
          <w:tcPr>
            <w:tcW w:type="dxa" w:w="3249"/>
            <w:shd w:fill="1A1A2E" w:val="clear"/>
            <w:tcBorders>
              <w:top w:val="single" w:sz="4" w:space="0" w:color="555555"/>
              <w:left w:val="single" w:sz="4" w:space="0" w:color="555555"/>
              <w:bottom w:val="single" w:sz="4" w:space="0" w:color="555555"/>
              <w:right w:val="single" w:sz="4" w:space="0" w:color="555555"/>
            </w:tcBorders>
          </w:tcPr>
          <w:p>
            <w:pPr>
              <w:jc w:val="left"/>
            </w:pPr>
            <w:r/>
            <w:r>
              <w:rPr>
                <w:b/>
                <w:color w:val="FFFFFF"/>
                <w:sz w:val="18"/>
              </w:rPr>
              <w:t>StudySync Solution</w:t>
            </w:r>
          </w:p>
        </w:tc>
      </w:tr>
      <w:tr>
        <w:tc>
          <w:tcPr>
            <w:tcW w:type="dxa" w:w="3249"/>
            <w:shd w:fill="F8F8FC" w:val="clear"/>
            <w:tcBorders>
              <w:top w:val="single" w:sz="4" w:space="0" w:color="CCCCCC"/>
              <w:left w:val="single" w:sz="4" w:space="0" w:color="CCCCCC"/>
              <w:bottom w:val="single" w:sz="4" w:space="0" w:color="CCCCCC"/>
              <w:right w:val="single" w:sz="4" w:space="0" w:color="CCCCCC"/>
            </w:tcBorders>
          </w:tcPr>
          <w:p>
            <w:pPr>
              <w:jc w:val="left"/>
            </w:pPr>
            <w:r/>
            <w:r>
              <w:rPr>
                <w:b/>
                <w:color w:val="1A1A2E"/>
                <w:sz w:val="18"/>
              </w:rPr>
              <w:t>Communication</w:t>
            </w:r>
          </w:p>
        </w:tc>
        <w:tc>
          <w:tcPr>
            <w:tcW w:type="dxa" w:w="3249"/>
            <w:shd w:fill="F8F8FC"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Fragmented WhatsApp groups, no centralized announcements, lost messages in chat noise</w:t>
            </w:r>
          </w:p>
        </w:tc>
        <w:tc>
          <w:tcPr>
            <w:tcW w:type="dxa" w:w="3249"/>
            <w:shd w:fill="F8F8FC"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Unified broadcast system, pinned announcements, real-time delivery confirmations</w:t>
            </w:r>
          </w:p>
        </w:tc>
      </w:tr>
      <w:tr>
        <w:tc>
          <w:tcPr>
            <w:tcW w:type="dxa" w:w="3249"/>
            <w:shd w:fill="FFFFFF" w:val="clear"/>
            <w:tcBorders>
              <w:top w:val="single" w:sz="4" w:space="0" w:color="CCCCCC"/>
              <w:left w:val="single" w:sz="4" w:space="0" w:color="CCCCCC"/>
              <w:bottom w:val="single" w:sz="4" w:space="0" w:color="CCCCCC"/>
              <w:right w:val="single" w:sz="4" w:space="0" w:color="CCCCCC"/>
            </w:tcBorders>
          </w:tcPr>
          <w:p>
            <w:pPr>
              <w:jc w:val="left"/>
            </w:pPr>
            <w:r/>
            <w:r>
              <w:rPr>
                <w:b/>
                <w:color w:val="1A1A2E"/>
                <w:sz w:val="18"/>
              </w:rPr>
              <w:t>Technology</w:t>
            </w:r>
          </w:p>
        </w:tc>
        <w:tc>
          <w:tcPr>
            <w:tcW w:type="dxa" w:w="3249"/>
            <w:shd w:fill="FFFFFF"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No unified platform, manual tracking spreadsheets, no calendar integration</w:t>
            </w:r>
          </w:p>
        </w:tc>
        <w:tc>
          <w:tcPr>
            <w:tcW w:type="dxa" w:w="3249"/>
            <w:shd w:fill="FFFFFF"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React 19 SPA with iCal/Google Calendar sync, PWA offline support</w:t>
            </w:r>
          </w:p>
        </w:tc>
      </w:tr>
      <w:tr>
        <w:tc>
          <w:tcPr>
            <w:tcW w:type="dxa" w:w="3249"/>
            <w:shd w:fill="F8F8FC" w:val="clear"/>
            <w:tcBorders>
              <w:top w:val="single" w:sz="4" w:space="0" w:color="CCCCCC"/>
              <w:left w:val="single" w:sz="4" w:space="0" w:color="CCCCCC"/>
              <w:bottom w:val="single" w:sz="4" w:space="0" w:color="CCCCCC"/>
              <w:right w:val="single" w:sz="4" w:space="0" w:color="CCCCCC"/>
            </w:tcBorders>
          </w:tcPr>
          <w:p>
            <w:pPr>
              <w:jc w:val="left"/>
            </w:pPr>
            <w:r/>
            <w:r>
              <w:rPr>
                <w:b/>
                <w:color w:val="1A1A2E"/>
                <w:sz w:val="18"/>
              </w:rPr>
              <w:t>Process</w:t>
            </w:r>
          </w:p>
        </w:tc>
        <w:tc>
          <w:tcPr>
            <w:tcW w:type="dxa" w:w="3249"/>
            <w:shd w:fill="F8F8FC"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No standardized submission workflow, unclear deadline formats, no subtask breakdown</w:t>
            </w:r>
          </w:p>
        </w:tc>
        <w:tc>
          <w:tcPr>
            <w:tcW w:type="dxa" w:w="3249"/>
            <w:shd w:fill="F8F8FC"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Structured assignment creation with milestone subtasks, cryptographic submission hashes</w:t>
            </w:r>
          </w:p>
        </w:tc>
      </w:tr>
      <w:tr>
        <w:tc>
          <w:tcPr>
            <w:tcW w:type="dxa" w:w="3249"/>
            <w:shd w:fill="FFFFFF" w:val="clear"/>
            <w:tcBorders>
              <w:top w:val="single" w:sz="4" w:space="0" w:color="CCCCCC"/>
              <w:left w:val="single" w:sz="4" w:space="0" w:color="CCCCCC"/>
              <w:bottom w:val="single" w:sz="4" w:space="0" w:color="CCCCCC"/>
              <w:right w:val="single" w:sz="4" w:space="0" w:color="CCCCCC"/>
            </w:tcBorders>
          </w:tcPr>
          <w:p>
            <w:pPr>
              <w:jc w:val="left"/>
            </w:pPr>
            <w:r/>
            <w:r>
              <w:rPr>
                <w:b/>
                <w:color w:val="1A1A2E"/>
                <w:sz w:val="18"/>
              </w:rPr>
              <w:t>People</w:t>
            </w:r>
          </w:p>
        </w:tc>
        <w:tc>
          <w:tcPr>
            <w:tcW w:type="dxa" w:w="3249"/>
            <w:shd w:fill="FFFFFF"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CR overwhelmed with tasks, students unaware of updates, faculty lacks visibility</w:t>
            </w:r>
          </w:p>
        </w:tc>
        <w:tc>
          <w:tcPr>
            <w:tcW w:type="dxa" w:w="3249"/>
            <w:shd w:fill="FFFFFF"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3-role portal system: Faculty Incharge, CR Command Center, Student Cohort</w:t>
            </w:r>
          </w:p>
        </w:tc>
      </w:tr>
      <w:tr>
        <w:tc>
          <w:tcPr>
            <w:tcW w:type="dxa" w:w="3249"/>
            <w:shd w:fill="F8F8FC" w:val="clear"/>
            <w:tcBorders>
              <w:top w:val="single" w:sz="4" w:space="0" w:color="CCCCCC"/>
              <w:left w:val="single" w:sz="4" w:space="0" w:color="CCCCCC"/>
              <w:bottom w:val="single" w:sz="4" w:space="0" w:color="CCCCCC"/>
              <w:right w:val="single" w:sz="4" w:space="0" w:color="CCCCCC"/>
            </w:tcBorders>
          </w:tcPr>
          <w:p>
            <w:pPr>
              <w:jc w:val="left"/>
            </w:pPr>
            <w:r/>
            <w:r>
              <w:rPr>
                <w:b/>
                <w:color w:val="1A1A2E"/>
                <w:sz w:val="18"/>
              </w:rPr>
              <w:t>Data</w:t>
            </w:r>
          </w:p>
        </w:tc>
        <w:tc>
          <w:tcPr>
            <w:tcW w:type="dxa" w:w="3249"/>
            <w:shd w:fill="F8F8FC"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No attendance analytics, no submission tracking, no performance insights</w:t>
            </w:r>
          </w:p>
        </w:tc>
        <w:tc>
          <w:tcPr>
            <w:tcW w:type="dxa" w:w="3249"/>
            <w:shd w:fill="F8F8FC"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Real-time attendance sessions, submission pace radar, defaulter detection (&lt;75%)</w:t>
            </w:r>
          </w:p>
        </w:tc>
      </w:tr>
      <w:tr>
        <w:tc>
          <w:tcPr>
            <w:tcW w:type="dxa" w:w="3249"/>
            <w:shd w:fill="FFFFFF" w:val="clear"/>
            <w:tcBorders>
              <w:top w:val="single" w:sz="4" w:space="0" w:color="CCCCCC"/>
              <w:left w:val="single" w:sz="4" w:space="0" w:color="CCCCCC"/>
              <w:bottom w:val="single" w:sz="4" w:space="0" w:color="CCCCCC"/>
              <w:right w:val="single" w:sz="4" w:space="0" w:color="CCCCCC"/>
            </w:tcBorders>
          </w:tcPr>
          <w:p>
            <w:pPr>
              <w:jc w:val="left"/>
            </w:pPr>
            <w:r/>
            <w:r>
              <w:rPr>
                <w:b/>
                <w:color w:val="1A1A2E"/>
                <w:sz w:val="18"/>
              </w:rPr>
              <w:t>Environment</w:t>
            </w:r>
          </w:p>
        </w:tc>
        <w:tc>
          <w:tcPr>
            <w:tcW w:type="dxa" w:w="3249"/>
            <w:shd w:fill="FFFFFF"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Multiple subject coordination, 50+ student cohort, NEP 2020 holistic requirements</w:t>
            </w:r>
          </w:p>
        </w:tc>
        <w:tc>
          <w:tcPr>
            <w:tcW w:type="dxa" w:w="3249"/>
            <w:shd w:fill="FFFFFF"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Multi-subject engine, 50-member roster, AICTE 100-point holistic growth tracker</w:t>
            </w:r>
          </w:p>
        </w:tc>
      </w:tr>
    </w:tbl>
    <w:p/>
    <w:p>
      <w:r>
        <w:br w:type="page"/>
      </w:r>
    </w:p>
    <w:p>
      <w:pPr>
        <w:pStyle w:val="Heading1"/>
      </w:pPr>
      <w:r>
        <w:rPr>
          <w:color w:val="1A1A2E"/>
        </w:rPr>
        <w:t>3. Student Journey Map</w:t>
      </w:r>
    </w:p>
    <w:p>
      <w:r>
        <w:rPr>
          <w:color w:val="444444"/>
          <w:sz w:val="21"/>
        </w:rPr>
        <w:t>The Student Journey Map traces the end-to-end experience of a student using StudySync, from initial discovery through daily engagement to achievement milestones. Each phase captures touchpoints, actions, emotional states, and pain points.</w:t>
      </w:r>
    </w:p>
    <w:p>
      <w:pPr>
        <w:jc w:val="center"/>
      </w:pPr>
      <w:r>
        <w:drawing>
          <wp:inline xmlns:a="http://schemas.openxmlformats.org/drawingml/2006/main" xmlns:pic="http://schemas.openxmlformats.org/drawingml/2006/picture">
            <wp:extent cx="5669280" cy="3164249"/>
            <wp:docPr id="3" name="Picture 3"/>
            <wp:cNvGraphicFramePr>
              <a:graphicFrameLocks noChangeAspect="1"/>
            </wp:cNvGraphicFramePr>
            <a:graphic>
              <a:graphicData uri="http://schemas.openxmlformats.org/drawingml/2006/picture">
                <pic:pic>
                  <pic:nvPicPr>
                    <pic:cNvPr id="0" name="student_journey_map.jpg"/>
                    <pic:cNvPicPr/>
                  </pic:nvPicPr>
                  <pic:blipFill>
                    <a:blip r:embed="rId11"/>
                    <a:stretch>
                      <a:fillRect/>
                    </a:stretch>
                  </pic:blipFill>
                  <pic:spPr>
                    <a:xfrm>
                      <a:off x="0" y="0"/>
                      <a:ext cx="5669280" cy="3164249"/>
                    </a:xfrm>
                    <a:prstGeom prst="rect"/>
                  </pic:spPr>
                </pic:pic>
              </a:graphicData>
            </a:graphic>
          </wp:inline>
        </w:drawing>
      </w:r>
    </w:p>
    <w:tbl>
      <w:tblPr>
        <w:tblW w:type="auto" w:w="0"/>
        <w:jc w:val="center"/>
        <w:tblLayout w:type="autofit"/>
        <w:tblLook w:firstColumn="1" w:firstRow="1" w:lastColumn="0" w:lastRow="0" w:noHBand="0" w:noVBand="1" w:val="04A0"/>
      </w:tblPr>
      <w:tblGrid>
        <w:gridCol w:w="1949"/>
        <w:gridCol w:w="1949"/>
        <w:gridCol w:w="1949"/>
        <w:gridCol w:w="1949"/>
        <w:gridCol w:w="1949"/>
      </w:tblGrid>
      <w:tr>
        <w:tc>
          <w:tcPr>
            <w:tcW w:type="dxa" w:w="1949"/>
            <w:shd w:fill="1A1A2E" w:val="clear"/>
            <w:tcBorders>
              <w:top w:val="single" w:sz="4" w:space="0" w:color="555555"/>
              <w:left w:val="single" w:sz="4" w:space="0" w:color="555555"/>
              <w:bottom w:val="single" w:sz="4" w:space="0" w:color="555555"/>
              <w:right w:val="single" w:sz="4" w:space="0" w:color="555555"/>
            </w:tcBorders>
          </w:tcPr>
          <w:p>
            <w:pPr>
              <w:jc w:val="left"/>
            </w:pPr>
            <w:r/>
            <w:r>
              <w:rPr>
                <w:b/>
                <w:color w:val="FFFFFF"/>
                <w:sz w:val="18"/>
              </w:rPr>
              <w:t>Phase</w:t>
            </w:r>
          </w:p>
        </w:tc>
        <w:tc>
          <w:tcPr>
            <w:tcW w:type="dxa" w:w="1949"/>
            <w:shd w:fill="1A1A2E" w:val="clear"/>
            <w:tcBorders>
              <w:top w:val="single" w:sz="4" w:space="0" w:color="555555"/>
              <w:left w:val="single" w:sz="4" w:space="0" w:color="555555"/>
              <w:bottom w:val="single" w:sz="4" w:space="0" w:color="555555"/>
              <w:right w:val="single" w:sz="4" w:space="0" w:color="555555"/>
            </w:tcBorders>
          </w:tcPr>
          <w:p>
            <w:pPr>
              <w:jc w:val="left"/>
            </w:pPr>
            <w:r/>
            <w:r>
              <w:rPr>
                <w:b/>
                <w:color w:val="FFFFFF"/>
                <w:sz w:val="18"/>
              </w:rPr>
              <w:t>Touchpoints</w:t>
            </w:r>
          </w:p>
        </w:tc>
        <w:tc>
          <w:tcPr>
            <w:tcW w:type="dxa" w:w="1949"/>
            <w:shd w:fill="1A1A2E" w:val="clear"/>
            <w:tcBorders>
              <w:top w:val="single" w:sz="4" w:space="0" w:color="555555"/>
              <w:left w:val="single" w:sz="4" w:space="0" w:color="555555"/>
              <w:bottom w:val="single" w:sz="4" w:space="0" w:color="555555"/>
              <w:right w:val="single" w:sz="4" w:space="0" w:color="555555"/>
            </w:tcBorders>
          </w:tcPr>
          <w:p>
            <w:pPr>
              <w:jc w:val="left"/>
            </w:pPr>
            <w:r/>
            <w:r>
              <w:rPr>
                <w:b/>
                <w:color w:val="FFFFFF"/>
                <w:sz w:val="18"/>
              </w:rPr>
              <w:t>Actions</w:t>
            </w:r>
          </w:p>
        </w:tc>
        <w:tc>
          <w:tcPr>
            <w:tcW w:type="dxa" w:w="1949"/>
            <w:shd w:fill="1A1A2E" w:val="clear"/>
            <w:tcBorders>
              <w:top w:val="single" w:sz="4" w:space="0" w:color="555555"/>
              <w:left w:val="single" w:sz="4" w:space="0" w:color="555555"/>
              <w:bottom w:val="single" w:sz="4" w:space="0" w:color="555555"/>
              <w:right w:val="single" w:sz="4" w:space="0" w:color="555555"/>
            </w:tcBorders>
          </w:tcPr>
          <w:p>
            <w:pPr>
              <w:jc w:val="left"/>
            </w:pPr>
            <w:r/>
            <w:r>
              <w:rPr>
                <w:b/>
                <w:color w:val="FFFFFF"/>
                <w:sz w:val="18"/>
              </w:rPr>
              <w:t>Emotions</w:t>
            </w:r>
          </w:p>
        </w:tc>
        <w:tc>
          <w:tcPr>
            <w:tcW w:type="dxa" w:w="1949"/>
            <w:shd w:fill="1A1A2E" w:val="clear"/>
            <w:tcBorders>
              <w:top w:val="single" w:sz="4" w:space="0" w:color="555555"/>
              <w:left w:val="single" w:sz="4" w:space="0" w:color="555555"/>
              <w:bottom w:val="single" w:sz="4" w:space="0" w:color="555555"/>
              <w:right w:val="single" w:sz="4" w:space="0" w:color="555555"/>
            </w:tcBorders>
          </w:tcPr>
          <w:p>
            <w:pPr>
              <w:jc w:val="left"/>
            </w:pPr>
            <w:r/>
            <w:r>
              <w:rPr>
                <w:b/>
                <w:color w:val="FFFFFF"/>
                <w:sz w:val="18"/>
              </w:rPr>
              <w:t>Pain Points</w:t>
            </w:r>
          </w:p>
        </w:tc>
      </w:tr>
      <w:tr>
        <w:tc>
          <w:tcPr>
            <w:tcW w:type="dxa" w:w="1949"/>
            <w:shd w:fill="F8F8FC" w:val="clear"/>
            <w:tcBorders>
              <w:top w:val="single" w:sz="4" w:space="0" w:color="CCCCCC"/>
              <w:left w:val="single" w:sz="4" w:space="0" w:color="CCCCCC"/>
              <w:bottom w:val="single" w:sz="4" w:space="0" w:color="CCCCCC"/>
              <w:right w:val="single" w:sz="4" w:space="0" w:color="CCCCCC"/>
            </w:tcBorders>
          </w:tcPr>
          <w:p>
            <w:pPr>
              <w:jc w:val="left"/>
            </w:pPr>
            <w:r/>
            <w:r>
              <w:rPr>
                <w:b/>
                <w:color w:val="1A1A2E"/>
                <w:sz w:val="18"/>
              </w:rPr>
              <w:t>1. Discovery</w:t>
            </w:r>
          </w:p>
        </w:tc>
        <w:tc>
          <w:tcPr>
            <w:tcW w:type="dxa" w:w="1949"/>
            <w:shd w:fill="F8F8FC"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Landing page, CR referral</w:t>
            </w:r>
          </w:p>
        </w:tc>
        <w:tc>
          <w:tcPr>
            <w:tcW w:type="dxa" w:w="1949"/>
            <w:shd w:fill="F8F8FC"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Visits StudySync URL</w:t>
            </w:r>
          </w:p>
        </w:tc>
        <w:tc>
          <w:tcPr>
            <w:tcW w:type="dxa" w:w="1949"/>
            <w:shd w:fill="F8F8FC"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Curious 😐</w:t>
            </w:r>
          </w:p>
        </w:tc>
        <w:tc>
          <w:tcPr>
            <w:tcW w:type="dxa" w:w="1949"/>
            <w:shd w:fill="F8F8FC"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Doesn't know features</w:t>
            </w:r>
          </w:p>
        </w:tc>
      </w:tr>
      <w:tr>
        <w:tc>
          <w:tcPr>
            <w:tcW w:type="dxa" w:w="1949"/>
            <w:shd w:fill="FFFFFF" w:val="clear"/>
            <w:tcBorders>
              <w:top w:val="single" w:sz="4" w:space="0" w:color="CCCCCC"/>
              <w:left w:val="single" w:sz="4" w:space="0" w:color="CCCCCC"/>
              <w:bottom w:val="single" w:sz="4" w:space="0" w:color="CCCCCC"/>
              <w:right w:val="single" w:sz="4" w:space="0" w:color="CCCCCC"/>
            </w:tcBorders>
          </w:tcPr>
          <w:p>
            <w:pPr>
              <w:jc w:val="left"/>
            </w:pPr>
            <w:r/>
            <w:r>
              <w:rPr>
                <w:b/>
                <w:color w:val="1A1A2E"/>
                <w:sz w:val="18"/>
              </w:rPr>
              <w:t>2. Onboarding</w:t>
            </w:r>
          </w:p>
        </w:tc>
        <w:tc>
          <w:tcPr>
            <w:tcW w:type="dxa" w:w="1949"/>
            <w:shd w:fill="FFFFFF"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Role selection portal, 1-tap student login</w:t>
            </w:r>
          </w:p>
        </w:tc>
        <w:tc>
          <w:tcPr>
            <w:tcW w:type="dxa" w:w="1949"/>
            <w:shd w:fill="FFFFFF"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Selects Student persona, views dashboard</w:t>
            </w:r>
          </w:p>
        </w:tc>
        <w:tc>
          <w:tcPr>
            <w:tcW w:type="dxa" w:w="1949"/>
            <w:shd w:fill="FFFFFF"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Excited 😊</w:t>
            </w:r>
          </w:p>
        </w:tc>
        <w:tc>
          <w:tcPr>
            <w:tcW w:type="dxa" w:w="1949"/>
            <w:shd w:fill="FFFFFF"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Learning new interface</w:t>
            </w:r>
          </w:p>
        </w:tc>
      </w:tr>
      <w:tr>
        <w:tc>
          <w:tcPr>
            <w:tcW w:type="dxa" w:w="1949"/>
            <w:shd w:fill="F8F8FC" w:val="clear"/>
            <w:tcBorders>
              <w:top w:val="single" w:sz="4" w:space="0" w:color="CCCCCC"/>
              <w:left w:val="single" w:sz="4" w:space="0" w:color="CCCCCC"/>
              <w:bottom w:val="single" w:sz="4" w:space="0" w:color="CCCCCC"/>
              <w:right w:val="single" w:sz="4" w:space="0" w:color="CCCCCC"/>
            </w:tcBorders>
          </w:tcPr>
          <w:p>
            <w:pPr>
              <w:jc w:val="left"/>
            </w:pPr>
            <w:r/>
            <w:r>
              <w:rPr>
                <w:b/>
                <w:color w:val="1A1A2E"/>
                <w:sz w:val="18"/>
              </w:rPr>
              <w:t>3. Daily Use</w:t>
            </w:r>
          </w:p>
        </w:tc>
        <w:tc>
          <w:tcPr>
            <w:tcW w:type="dxa" w:w="1949"/>
            <w:shd w:fill="F8F8FC"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Dashboard, Assignments tab, Subtask checklists, Attendance tracker</w:t>
            </w:r>
          </w:p>
        </w:tc>
        <w:tc>
          <w:tcPr>
            <w:tcW w:type="dxa" w:w="1949"/>
            <w:shd w:fill="F8F8FC"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Checks deadlines, toggles subtasks, views attendance</w:t>
            </w:r>
          </w:p>
        </w:tc>
        <w:tc>
          <w:tcPr>
            <w:tcW w:type="dxa" w:w="1949"/>
            <w:shd w:fill="F8F8FC"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Engaged 😄</w:t>
            </w:r>
          </w:p>
        </w:tc>
        <w:tc>
          <w:tcPr>
            <w:tcW w:type="dxa" w:w="1949"/>
            <w:shd w:fill="F8F8FC"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Multiple assignments overlapping</w:t>
            </w:r>
          </w:p>
        </w:tc>
      </w:tr>
      <w:tr>
        <w:tc>
          <w:tcPr>
            <w:tcW w:type="dxa" w:w="1949"/>
            <w:shd w:fill="FFFFFF" w:val="clear"/>
            <w:tcBorders>
              <w:top w:val="single" w:sz="4" w:space="0" w:color="CCCCCC"/>
              <w:left w:val="single" w:sz="4" w:space="0" w:color="CCCCCC"/>
              <w:bottom w:val="single" w:sz="4" w:space="0" w:color="CCCCCC"/>
              <w:right w:val="single" w:sz="4" w:space="0" w:color="CCCCCC"/>
            </w:tcBorders>
          </w:tcPr>
          <w:p>
            <w:pPr>
              <w:jc w:val="left"/>
            </w:pPr>
            <w:r/>
            <w:r>
              <w:rPr>
                <w:b/>
                <w:color w:val="1A1A2E"/>
                <w:sz w:val="18"/>
              </w:rPr>
              <w:t>4. Growth Tracking</w:t>
            </w:r>
          </w:p>
        </w:tc>
        <w:tc>
          <w:tcPr>
            <w:tcW w:type="dxa" w:w="1949"/>
            <w:shd w:fill="FFFFFF"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Holistic Growth view, AICTE 100 points meter, Activity submission form</w:t>
            </w:r>
          </w:p>
        </w:tc>
        <w:tc>
          <w:tcPr>
            <w:tcW w:type="dxa" w:w="1949"/>
            <w:shd w:fill="FFFFFF"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Logs activities, tracks accreditation points</w:t>
            </w:r>
          </w:p>
        </w:tc>
        <w:tc>
          <w:tcPr>
            <w:tcW w:type="dxa" w:w="1949"/>
            <w:shd w:fill="FFFFFF"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Motivated 😊</w:t>
            </w:r>
          </w:p>
        </w:tc>
        <w:tc>
          <w:tcPr>
            <w:tcW w:type="dxa" w:w="1949"/>
            <w:shd w:fill="FFFFFF"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Waiting for faculty approval</w:t>
            </w:r>
          </w:p>
        </w:tc>
      </w:tr>
      <w:tr>
        <w:tc>
          <w:tcPr>
            <w:tcW w:type="dxa" w:w="1949"/>
            <w:shd w:fill="F8F8FC" w:val="clear"/>
            <w:tcBorders>
              <w:top w:val="single" w:sz="4" w:space="0" w:color="CCCCCC"/>
              <w:left w:val="single" w:sz="4" w:space="0" w:color="CCCCCC"/>
              <w:bottom w:val="single" w:sz="4" w:space="0" w:color="CCCCCC"/>
              <w:right w:val="single" w:sz="4" w:space="0" w:color="CCCCCC"/>
            </w:tcBorders>
          </w:tcPr>
          <w:p>
            <w:pPr>
              <w:jc w:val="left"/>
            </w:pPr>
            <w:r/>
            <w:r>
              <w:rPr>
                <w:b/>
                <w:color w:val="1A1A2E"/>
                <w:sz w:val="18"/>
              </w:rPr>
              <w:t>5. Achievement</w:t>
            </w:r>
          </w:p>
        </w:tc>
        <w:tc>
          <w:tcPr>
            <w:tcW w:type="dxa" w:w="1949"/>
            <w:shd w:fill="F8F8FC"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Wall of Fame, Streaks &amp; badges, Completion analytics</w:t>
            </w:r>
          </w:p>
        </w:tc>
        <w:tc>
          <w:tcPr>
            <w:tcW w:type="dxa" w:w="1949"/>
            <w:shd w:fill="F8F8FC"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Earns badges, reaches milestones, celebrates streaks</w:t>
            </w:r>
          </w:p>
        </w:tc>
        <w:tc>
          <w:tcPr>
            <w:tcW w:type="dxa" w:w="1949"/>
            <w:shd w:fill="F8F8FC"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Proud 😄</w:t>
            </w:r>
          </w:p>
        </w:tc>
        <w:tc>
          <w:tcPr>
            <w:tcW w:type="dxa" w:w="1949"/>
            <w:shd w:fill="F8F8FC"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Wants more recognition options</w:t>
            </w:r>
          </w:p>
        </w:tc>
      </w:tr>
    </w:tbl>
    <w:p/>
    <w:p>
      <w:r>
        <w:br w:type="page"/>
      </w:r>
    </w:p>
    <w:p>
      <w:pPr>
        <w:pStyle w:val="Heading1"/>
      </w:pPr>
      <w:r>
        <w:rPr>
          <w:color w:val="1A1A2E"/>
        </w:rPr>
        <w:t>4. CR &amp; Faculty Incharge Journey Map</w:t>
      </w:r>
    </w:p>
    <w:p>
      <w:r>
        <w:rPr>
          <w:color w:val="444444"/>
          <w:sz w:val="21"/>
        </w:rPr>
        <w:t>The dual-lane Journey Map illustrates the parallel workflows of the Class Representative (CR) and Core Faculty Incharge through five key phases. The CR lane (blue) focuses on task creation and student management, while the Faculty lane (purple) emphasizes oversight, accreditation, and confidential governance.</w:t>
      </w:r>
    </w:p>
    <w:p>
      <w:pPr>
        <w:jc w:val="center"/>
      </w:pPr>
      <w:r>
        <w:drawing>
          <wp:inline xmlns:a="http://schemas.openxmlformats.org/drawingml/2006/main" xmlns:pic="http://schemas.openxmlformats.org/drawingml/2006/picture">
            <wp:extent cx="5669280" cy="3164249"/>
            <wp:docPr id="4" name="Picture 4"/>
            <wp:cNvGraphicFramePr>
              <a:graphicFrameLocks noChangeAspect="1"/>
            </wp:cNvGraphicFramePr>
            <a:graphic>
              <a:graphicData uri="http://schemas.openxmlformats.org/drawingml/2006/picture">
                <pic:pic>
                  <pic:nvPicPr>
                    <pic:cNvPr id="0" name="cr_faculty_journey_map.jpg"/>
                    <pic:cNvPicPr/>
                  </pic:nvPicPr>
                  <pic:blipFill>
                    <a:blip r:embed="rId12"/>
                    <a:stretch>
                      <a:fillRect/>
                    </a:stretch>
                  </pic:blipFill>
                  <pic:spPr>
                    <a:xfrm>
                      <a:off x="0" y="0"/>
                      <a:ext cx="5669280" cy="3164249"/>
                    </a:xfrm>
                    <a:prstGeom prst="rect"/>
                  </pic:spPr>
                </pic:pic>
              </a:graphicData>
            </a:graphic>
          </wp:inline>
        </w:drawing>
      </w:r>
    </w:p>
    <w:tbl>
      <w:tblPr>
        <w:tblW w:type="auto" w:w="0"/>
        <w:jc w:val="center"/>
        <w:tblLayout w:type="autofit"/>
        <w:tblLook w:firstColumn="1" w:firstRow="1" w:lastColumn="0" w:lastRow="0" w:noHBand="0" w:noVBand="1" w:val="04A0"/>
      </w:tblPr>
      <w:tblGrid>
        <w:gridCol w:w="3249"/>
        <w:gridCol w:w="3249"/>
        <w:gridCol w:w="3249"/>
      </w:tblGrid>
      <w:tr>
        <w:tc>
          <w:tcPr>
            <w:tcW w:type="dxa" w:w="3249"/>
            <w:shd w:fill="1A1A2E" w:val="clear"/>
            <w:tcBorders>
              <w:top w:val="single" w:sz="4" w:space="0" w:color="555555"/>
              <w:left w:val="single" w:sz="4" w:space="0" w:color="555555"/>
              <w:bottom w:val="single" w:sz="4" w:space="0" w:color="555555"/>
              <w:right w:val="single" w:sz="4" w:space="0" w:color="555555"/>
            </w:tcBorders>
          </w:tcPr>
          <w:p>
            <w:pPr>
              <w:jc w:val="left"/>
            </w:pPr>
            <w:r/>
            <w:r>
              <w:rPr>
                <w:b/>
                <w:color w:val="FFFFFF"/>
                <w:sz w:val="18"/>
              </w:rPr>
              <w:t>Phase</w:t>
            </w:r>
          </w:p>
        </w:tc>
        <w:tc>
          <w:tcPr>
            <w:tcW w:type="dxa" w:w="3249"/>
            <w:shd w:fill="1A1A2E" w:val="clear"/>
            <w:tcBorders>
              <w:top w:val="single" w:sz="4" w:space="0" w:color="555555"/>
              <w:left w:val="single" w:sz="4" w:space="0" w:color="555555"/>
              <w:bottom w:val="single" w:sz="4" w:space="0" w:color="555555"/>
              <w:right w:val="single" w:sz="4" w:space="0" w:color="555555"/>
            </w:tcBorders>
          </w:tcPr>
          <w:p>
            <w:pPr>
              <w:jc w:val="left"/>
            </w:pPr>
            <w:r/>
            <w:r>
              <w:rPr>
                <w:b/>
                <w:color w:val="FFFFFF"/>
                <w:sz w:val="18"/>
              </w:rPr>
              <w:t>CR (Class Representative)</w:t>
            </w:r>
          </w:p>
        </w:tc>
        <w:tc>
          <w:tcPr>
            <w:tcW w:type="dxa" w:w="3249"/>
            <w:shd w:fill="1A1A2E" w:val="clear"/>
            <w:tcBorders>
              <w:top w:val="single" w:sz="4" w:space="0" w:color="555555"/>
              <w:left w:val="single" w:sz="4" w:space="0" w:color="555555"/>
              <w:bottom w:val="single" w:sz="4" w:space="0" w:color="555555"/>
              <w:right w:val="single" w:sz="4" w:space="0" w:color="555555"/>
            </w:tcBorders>
          </w:tcPr>
          <w:p>
            <w:pPr>
              <w:jc w:val="left"/>
            </w:pPr>
            <w:r/>
            <w:r>
              <w:rPr>
                <w:b/>
                <w:color w:val="FFFFFF"/>
                <w:sz w:val="18"/>
              </w:rPr>
              <w:t>Faculty Incharge</w:t>
            </w:r>
          </w:p>
        </w:tc>
      </w:tr>
      <w:tr>
        <w:tc>
          <w:tcPr>
            <w:tcW w:type="dxa" w:w="3249"/>
            <w:shd w:fill="F8F8FC" w:val="clear"/>
            <w:tcBorders>
              <w:top w:val="single" w:sz="4" w:space="0" w:color="CCCCCC"/>
              <w:left w:val="single" w:sz="4" w:space="0" w:color="CCCCCC"/>
              <w:bottom w:val="single" w:sz="4" w:space="0" w:color="CCCCCC"/>
              <w:right w:val="single" w:sz="4" w:space="0" w:color="CCCCCC"/>
            </w:tcBorders>
          </w:tcPr>
          <w:p>
            <w:pPr>
              <w:jc w:val="left"/>
            </w:pPr>
            <w:r/>
            <w:r>
              <w:rPr>
                <w:b/>
                <w:color w:val="1A1A2E"/>
                <w:sz w:val="18"/>
              </w:rPr>
              <w:t>1. Setup &amp; Access</w:t>
            </w:r>
          </w:p>
        </w:tc>
        <w:tc>
          <w:tcPr>
            <w:tcW w:type="dxa" w:w="3249"/>
            <w:shd w:fill="F8F8FC"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Logs in via CR portal, sees Command Center dashboard, reviews 50-member cohort roster</w:t>
            </w:r>
          </w:p>
        </w:tc>
        <w:tc>
          <w:tcPr>
            <w:tcW w:type="dxa" w:w="3249"/>
            <w:shd w:fill="F8F8FC"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Logs in via Faculty Incharge portal, accesses Oversight Hub, views cryptographic audit trail</w:t>
            </w:r>
          </w:p>
        </w:tc>
      </w:tr>
      <w:tr>
        <w:tc>
          <w:tcPr>
            <w:tcW w:type="dxa" w:w="3249"/>
            <w:shd w:fill="FFFFFF" w:val="clear"/>
            <w:tcBorders>
              <w:top w:val="single" w:sz="4" w:space="0" w:color="CCCCCC"/>
              <w:left w:val="single" w:sz="4" w:space="0" w:color="CCCCCC"/>
              <w:bottom w:val="single" w:sz="4" w:space="0" w:color="CCCCCC"/>
              <w:right w:val="single" w:sz="4" w:space="0" w:color="CCCCCC"/>
            </w:tcBorders>
          </w:tcPr>
          <w:p>
            <w:pPr>
              <w:jc w:val="left"/>
            </w:pPr>
            <w:r/>
            <w:r>
              <w:rPr>
                <w:b/>
                <w:color w:val="1A1A2E"/>
                <w:sz w:val="18"/>
              </w:rPr>
              <w:t>2. Task Creation &amp; Management</w:t>
            </w:r>
          </w:p>
        </w:tc>
        <w:tc>
          <w:tcPr>
            <w:tcW w:type="dxa" w:w="3249"/>
            <w:shd w:fill="FFFFFF"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Creates assignments with subtask milestones, sets deadlines, broadcasts announcements to 50 students</w:t>
            </w:r>
          </w:p>
        </w:tc>
        <w:tc>
          <w:tcPr>
            <w:tcW w:type="dxa" w:w="3249"/>
            <w:shd w:fill="FFFFFF"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Reviews assignment structure, monitors submission pace, checks compliance metrics</w:t>
            </w:r>
          </w:p>
        </w:tc>
      </w:tr>
      <w:tr>
        <w:tc>
          <w:tcPr>
            <w:tcW w:type="dxa" w:w="3249"/>
            <w:shd w:fill="F8F8FC" w:val="clear"/>
            <w:tcBorders>
              <w:top w:val="single" w:sz="4" w:space="0" w:color="CCCCCC"/>
              <w:left w:val="single" w:sz="4" w:space="0" w:color="CCCCCC"/>
              <w:bottom w:val="single" w:sz="4" w:space="0" w:color="CCCCCC"/>
              <w:right w:val="single" w:sz="4" w:space="0" w:color="CCCCCC"/>
            </w:tcBorders>
          </w:tcPr>
          <w:p>
            <w:pPr>
              <w:jc w:val="left"/>
            </w:pPr>
            <w:r/>
            <w:r>
              <w:rPr>
                <w:b/>
                <w:color w:val="1A1A2E"/>
                <w:sz w:val="18"/>
              </w:rPr>
              <w:t>3. Monitoring &amp; Oversight</w:t>
            </w:r>
          </w:p>
        </w:tc>
        <w:tc>
          <w:tcPr>
            <w:tcW w:type="dxa" w:w="3249"/>
            <w:shd w:fill="F8F8FC"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Tracks submission ratios, runs attendance sessions, monitors defaulter alerts</w:t>
            </w:r>
          </w:p>
        </w:tc>
        <w:tc>
          <w:tcPr>
            <w:tcW w:type="dxa" w:w="3249"/>
            <w:shd w:fill="F8F8FC"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Reviews At-Risk Defaulter Radar (&lt;75% attendance), reads Confidential Grievance Desk tickets</w:t>
            </w:r>
          </w:p>
        </w:tc>
      </w:tr>
      <w:tr>
        <w:tc>
          <w:tcPr>
            <w:tcW w:type="dxa" w:w="3249"/>
            <w:shd w:fill="FFFFFF" w:val="clear"/>
            <w:tcBorders>
              <w:top w:val="single" w:sz="4" w:space="0" w:color="CCCCCC"/>
              <w:left w:val="single" w:sz="4" w:space="0" w:color="CCCCCC"/>
              <w:bottom w:val="single" w:sz="4" w:space="0" w:color="CCCCCC"/>
              <w:right w:val="single" w:sz="4" w:space="0" w:color="CCCCCC"/>
            </w:tcBorders>
          </w:tcPr>
          <w:p>
            <w:pPr>
              <w:jc w:val="left"/>
            </w:pPr>
            <w:r/>
            <w:r>
              <w:rPr>
                <w:b/>
                <w:color w:val="1A1A2E"/>
                <w:sz w:val="18"/>
              </w:rPr>
              <w:t>4. Growth &amp; Accreditation</w:t>
            </w:r>
          </w:p>
        </w:tc>
        <w:tc>
          <w:tcPr>
            <w:tcW w:type="dxa" w:w="3249"/>
            <w:shd w:fill="FFFFFF"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Encourages holistic activity participation, views cohort AICTE progress</w:t>
            </w:r>
          </w:p>
        </w:tc>
        <w:tc>
          <w:tcPr>
            <w:tcW w:type="dxa" w:w="3249"/>
            <w:shd w:fill="FFFFFF"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Approves/rejects activity claims, awards accreditation points, curates Wall of Fame</w:t>
            </w:r>
          </w:p>
        </w:tc>
      </w:tr>
      <w:tr>
        <w:tc>
          <w:tcPr>
            <w:tcW w:type="dxa" w:w="3249"/>
            <w:shd w:fill="F8F8FC" w:val="clear"/>
            <w:tcBorders>
              <w:top w:val="single" w:sz="4" w:space="0" w:color="CCCCCC"/>
              <w:left w:val="single" w:sz="4" w:space="0" w:color="CCCCCC"/>
              <w:bottom w:val="single" w:sz="4" w:space="0" w:color="CCCCCC"/>
              <w:right w:val="single" w:sz="4" w:space="0" w:color="CCCCCC"/>
            </w:tcBorders>
          </w:tcPr>
          <w:p>
            <w:pPr>
              <w:jc w:val="left"/>
            </w:pPr>
            <w:r/>
            <w:r>
              <w:rPr>
                <w:b/>
                <w:color w:val="1A1A2E"/>
                <w:sz w:val="18"/>
              </w:rPr>
              <w:t>5. Audit &amp; Reporting</w:t>
            </w:r>
          </w:p>
        </w:tc>
        <w:tc>
          <w:tcPr>
            <w:tcW w:type="dxa" w:w="3249"/>
            <w:shd w:fill="F8F8FC"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Exports CSV reports, downloads attendance data, reviews cohort analytics</w:t>
            </w:r>
          </w:p>
        </w:tc>
        <w:tc>
          <w:tcPr>
            <w:tcW w:type="dxa" w:w="3249"/>
            <w:shd w:fill="F8F8FC" w:val="clear"/>
            <w:tcBorders>
              <w:top w:val="single" w:sz="4" w:space="0" w:color="CCCCCC"/>
              <w:left w:val="single" w:sz="4" w:space="0" w:color="CCCCCC"/>
              <w:bottom w:val="single" w:sz="4" w:space="0" w:color="CCCCCC"/>
              <w:right w:val="single" w:sz="4" w:space="0" w:color="CCCCCC"/>
            </w:tcBorders>
          </w:tcPr>
          <w:p>
            <w:pPr>
              <w:jc w:val="left"/>
            </w:pPr>
            <w:r/>
            <w:r>
              <w:rPr>
                <w:color w:val="333333"/>
                <w:sz w:val="18"/>
              </w:rPr>
              <w:t>Inspects SHA-256 Cryptographic Audit Ledger, resolves grievances, generates oversight reports</w:t>
            </w:r>
          </w:p>
        </w:tc>
      </w:tr>
    </w:tbl>
    <w:p/>
    <w:p/>
    <w:p>
      <w:pPr>
        <w:jc w:val="center"/>
      </w:pPr>
      <w:r>
        <w:rPr>
          <w:color w:val="CCCCDD"/>
          <w:sz w:val="16"/>
        </w:rPr>
        <w:t>━━━━━━━━━━━━━━━━━━━━━━━━━━━━━━━━━━━━━━━━━━━━━━━━━━</w:t>
      </w:r>
    </w:p>
    <w:p>
      <w:pPr>
        <w:jc w:val="center"/>
      </w:pPr>
      <w:r>
        <w:rPr>
          <w:i/>
          <w:color w:val="888899"/>
          <w:sz w:val="18"/>
        </w:rPr>
        <w:t>StudySync — github.com/bash30ribs/studysync</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