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3.2 Data Collection Sources  </w:t>
      </w:r>
    </w:p>
    <w:p>
      <w:pPr>
        <w:spacing w:line="360" w:lineRule="auto"/>
        <w:jc w:val="both"/>
        <w:rPr>
          <w:rFonts w:ascii="Times New Roman" w:eastAsia="Times New Roman" w:hAnsi="Times New Roman" w:cs="Times New Roman"/>
          <w:sz w:val="24"/>
          <w:szCs w:val="24"/>
        </w:rPr>
      </w:pPr>
    </w:p>
    <w:p>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research is based on secondary data.  </w:t>
      </w:r>
    </w:p>
    <w:p>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Secondary data is data which has been gathered, recorded, and published by other entities for purposes other than this research. For this study, secondary data will be obtained from the annual financial statements of cement companies on the Pakistan stock exchange (PSX).  </w:t>
      </w:r>
    </w:p>
    <w:p>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Financial data will be obtained from:  </w:t>
      </w:r>
    </w:p>
    <w:p>
      <w:pPr>
        <w:pStyle w:val="ListParagraph"/>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Cement companies published annual reports  </w:t>
      </w:r>
    </w:p>
    <w:p>
      <w:pPr>
        <w:pStyle w:val="ListParagraph"/>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Pakistan Stock Exchange (PSX) official website  </w:t>
      </w:r>
    </w:p>
    <w:p>
      <w:pPr>
        <w:pStyle w:val="ListParagraph"/>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State Bank of Pakistan financial statements analysis reports  </w:t>
      </w:r>
    </w:p>
    <w:p>
      <w:pPr>
        <w:spacing w:line="360" w:lineRule="auto"/>
        <w:jc w:val="both"/>
        <w:rPr>
          <w:rFonts w:ascii="Times New Roman" w:eastAsia="Times New Roman" w:hAnsi="Times New Roman" w:cs="Times New Roman"/>
          <w:sz w:val="24"/>
          <w:szCs w:val="24"/>
        </w:rPr>
      </w:pPr>
    </w:p>
    <w:p>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will be collected regarding:  </w:t>
      </w:r>
    </w:p>
    <w:p>
      <w:pPr>
        <w:pStyle w:val="ListParagraph"/>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debt  </w:t>
      </w:r>
    </w:p>
    <w:p>
      <w:pPr>
        <w:pStyle w:val="ListParagraph"/>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equity  </w:t>
      </w:r>
    </w:p>
    <w:p>
      <w:pPr>
        <w:pStyle w:val="ListParagraph"/>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assets  </w:t>
      </w:r>
    </w:p>
    <w:p>
      <w:pPr>
        <w:pStyle w:val="ListParagraph"/>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Net income  </w:t>
      </w:r>
    </w:p>
    <w:p>
      <w:pPr>
        <w:spacing w:line="360" w:lineRule="auto"/>
        <w:jc w:val="both"/>
        <w:rPr>
          <w:rFonts w:ascii="Times New Roman" w:eastAsia="Times New Roman" w:hAnsi="Times New Roman" w:cs="Times New Roman"/>
          <w:sz w:val="24"/>
          <w:szCs w:val="24"/>
        </w:rPr>
      </w:pPr>
    </w:p>
    <w:p>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values will be used to determine the capital structure variables (Debt-To-Equity Ratio, Debt-To-Assets Ratio) and the firm performance variables (Return on Assets and Return on Equity).  </w:t>
      </w:r>
    </w:p>
    <w:p>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secondary data is the most appropriate choice for this study because the research goal is to assess the financial relationship between capital structure and firm performance, which is best quantified using audited financial statements. Secondary data is ideal for regression analysis and other statistical calculations.</w:t>
      </w:r>
    </w:p>
    <w:p>
      <w:pPr>
        <w:spacing w:line="360" w:lineRule="auto"/>
        <w:jc w:val="both"/>
        <w:rPr>
          <w:rFonts w:ascii="Times New Roman" w:eastAsia="Times New Roman" w:hAnsi="Times New Roman" w:cs="Times New Roman"/>
          <w:sz w:val="24"/>
          <w:szCs w:val="24"/>
        </w:rPr>
      </w:pPr>
    </w:p>
    <w:p>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 Tools / Instruments for Data Collection</w:t>
      </w:r>
    </w:p>
    <w:p>
      <w:pPr>
        <w:spacing w:line="360" w:lineRule="auto"/>
        <w:jc w:val="both"/>
        <w:rPr>
          <w:rFonts w:ascii="Times New Roman" w:eastAsia="Times New Roman" w:hAnsi="Times New Roman" w:cs="Times New Roman"/>
          <w:sz w:val="24"/>
          <w:szCs w:val="24"/>
        </w:rPr>
      </w:pPr>
    </w:p>
    <w:p>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this research, the annual financial statements of the sampled cement companies will be used, as follows:</w:t>
      </w:r>
    </w:p>
    <w:p>
      <w:pPr>
        <w:pStyle w:val="ListParagraph"/>
        <w:numPr>
          <w:ilvl w:val="0"/>
          <w:numId w:val="1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Statement of Financial Position (Balance Sheet)</w:t>
      </w:r>
    </w:p>
    <w:p>
      <w:pPr>
        <w:pStyle w:val="ListParagraph"/>
        <w:numPr>
          <w:ilvl w:val="0"/>
          <w:numId w:val="1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Statement of Profit or Loss (Income Statement)</w:t>
      </w:r>
    </w:p>
    <w:p>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documents contain reliable financial data required for the understanding of the research variables, as no questionnaires or surveys will be used for this study.</w:t>
      </w:r>
    </w:p>
    <w:p>
      <w:pPr>
        <w:spacing w:line="360" w:lineRule="auto"/>
        <w:jc w:val="both"/>
        <w:rPr>
          <w:rFonts w:ascii="Times New Roman" w:eastAsia="Times New Roman" w:hAnsi="Times New Roman" w:cs="Times New Roman"/>
          <w:sz w:val="24"/>
          <w:szCs w:val="24"/>
        </w:rPr>
      </w:pPr>
    </w:p>
    <w:p>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financial statements are chosen as the primary source of data for the following reasons:</w:t>
      </w:r>
    </w:p>
    <w:p>
      <w:pPr>
        <w:pStyle w:val="ListParagraph"/>
        <w:numPr>
          <w:ilvl w:val="0"/>
          <w:numId w:val="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They contain reliable record of the financial data.</w:t>
      </w:r>
    </w:p>
    <w:p>
      <w:pPr>
        <w:pStyle w:val="ListParagraph"/>
        <w:numPr>
          <w:ilvl w:val="0"/>
          <w:numId w:val="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They are accessible to the public and contain data that can be trusted.</w:t>
      </w:r>
    </w:p>
    <w:p>
      <w:pPr>
        <w:pStyle w:val="ListParagraph"/>
        <w:numPr>
          <w:ilvl w:val="0"/>
          <w:numId w:val="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They make it possible to measure the variables objectively.</w:t>
      </w:r>
    </w:p>
    <w:p>
      <w:pPr>
        <w:pStyle w:val="ListParagraph"/>
        <w:numPr>
          <w:ilvl w:val="0"/>
          <w:numId w:val="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They are commonly used in empirical studies in finance.</w:t>
      </w:r>
    </w:p>
    <w:p>
      <w:pPr>
        <w:spacing w:line="360" w:lineRule="auto"/>
        <w:jc w:val="both"/>
        <w:rPr>
          <w:rFonts w:ascii="Times New Roman" w:eastAsia="Times New Roman" w:hAnsi="Times New Roman" w:cs="Times New Roman"/>
          <w:sz w:val="24"/>
          <w:szCs w:val="24"/>
        </w:rPr>
      </w:pPr>
    </w:p>
    <w:p>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3.4 Participants / Subjects</w:t>
      </w:r>
    </w:p>
    <w:p>
      <w:pPr>
        <w:spacing w:line="360" w:lineRule="auto"/>
        <w:jc w:val="both"/>
        <w:rPr>
          <w:rFonts w:ascii="Times New Roman" w:eastAsia="Times New Roman" w:hAnsi="Times New Roman" w:cs="Times New Roman"/>
          <w:sz w:val="24"/>
          <w:szCs w:val="24"/>
        </w:rPr>
      </w:pPr>
    </w:p>
    <w:p>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Study Subjects</w:t>
      </w:r>
    </w:p>
    <w:p>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subjects of this study are cement companies on the Pakistan Stock Exchange (PSX). Individual employees or managers are not considered participants since the study only focuses on financial firm-level data.</w:t>
      </w:r>
    </w:p>
    <w:p>
      <w:pPr>
        <w:spacing w:line="360" w:lineRule="auto"/>
        <w:jc w:val="both"/>
        <w:rPr>
          <w:rFonts w:ascii="Times New Roman" w:eastAsia="Times New Roman" w:hAnsi="Times New Roman" w:cs="Times New Roman"/>
          <w:sz w:val="24"/>
          <w:szCs w:val="24"/>
        </w:rPr>
      </w:pPr>
    </w:p>
    <w:p>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Study’s Target Population</w:t>
      </w:r>
    </w:p>
    <w:p>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target population for this study encompasses the whole cement industry available on the Pakistan Stock Exchange (PSX).</w:t>
      </w:r>
    </w:p>
    <w:p>
      <w:pPr>
        <w:spacing w:line="360" w:lineRule="auto"/>
        <w:jc w:val="both"/>
        <w:rPr>
          <w:rFonts w:ascii="Times New Roman" w:eastAsia="Times New Roman" w:hAnsi="Times New Roman" w:cs="Times New Roman"/>
          <w:sz w:val="24"/>
          <w:szCs w:val="24"/>
        </w:rPr>
      </w:pPr>
    </w:p>
    <w:p>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Unit of Analysis</w:t>
      </w:r>
    </w:p>
    <w:p>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unit of analysis for this study is a single cement company listed on the PSX.</w:t>
      </w:r>
    </w:p>
    <w:p>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individual firm is one unit of analysis, and the financial data is analyzed at the firm level.</w:t>
      </w:r>
    </w:p>
    <w:p>
      <w:pPr>
        <w:spacing w:line="360" w:lineRule="auto"/>
        <w:jc w:val="both"/>
        <w:rPr>
          <w:rFonts w:ascii="Times New Roman" w:eastAsia="Times New Roman" w:hAnsi="Times New Roman" w:cs="Times New Roman"/>
          <w:sz w:val="24"/>
          <w:szCs w:val="24"/>
        </w:rPr>
      </w:pPr>
    </w:p>
    <w:p>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Size</w:t>
      </w:r>
    </w:p>
    <w:p>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sample will include cement firms listed on the Pakistan Stock Exchange for which annual financial data is accessible for the given study period.</w:t>
      </w:r>
    </w:p>
    <w:p>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availability of complete and consistent financial data will determine the final sample size.</w:t>
      </w:r>
    </w:p>
    <w:p>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final sample size will depend on the availability of complete and consistent financial data.</w:t>
      </w:r>
    </w:p>
    <w:p>
      <w:pPr>
        <w:spacing w:line="360" w:lineRule="auto"/>
        <w:jc w:val="both"/>
        <w:rPr>
          <w:rFonts w:ascii="Times New Roman" w:eastAsia="Times New Roman" w:hAnsi="Times New Roman" w:cs="Times New Roman"/>
          <w:sz w:val="24"/>
          <w:szCs w:val="24"/>
        </w:rPr>
      </w:pPr>
    </w:p>
    <w:p>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Sampling Frame</w:t>
      </w:r>
    </w:p>
    <w:p>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sampling frame will be obtained from the list of cement firms that are officially listed on the Pakistan Stock Exchange (PSX).</w:t>
      </w:r>
    </w:p>
    <w:p>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Sampling Technique</w:t>
      </w:r>
    </w:p>
    <w:p>
      <w:pPr>
        <w:spacing w:line="360" w:lineRule="auto"/>
        <w:jc w:val="both"/>
        <w:rPr>
          <w:rFonts w:ascii="Times New Roman" w:eastAsia="Times New Roman" w:hAnsi="Times New Roman" w:cs="Times New Roman"/>
          <w:sz w:val="24"/>
          <w:szCs w:val="24"/>
        </w:rPr>
      </w:pPr>
    </w:p>
    <w:p>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study, the purposive sampling technique will be applied.</w:t>
      </w:r>
    </w:p>
    <w:p>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technique is justified because only those cement firms will be chosen:</w:t>
      </w:r>
    </w:p>
    <w:p>
      <w:pPr>
        <w:pStyle w:val="ListParagraph"/>
        <w:numPr>
          <w:ilvl w:val="0"/>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Whose annual reports are accessible to the public</w:t>
      </w:r>
    </w:p>
    <w:p>
      <w:pPr>
        <w:pStyle w:val="ListParagraph"/>
        <w:numPr>
          <w:ilvl w:val="0"/>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Whose financial data is complete for the duration of the study</w:t>
      </w:r>
    </w:p>
    <w:p>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purposive sampling, it is ensured that pertinent and trustworthy data is available for the statistical analysis.</w:t>
      </w:r>
    </w:p>
    <w:p>
      <w:pPr>
        <w:spacing w:line="360" w:lineRule="auto"/>
        <w:jc w:val="both"/>
      </w:pP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75552"/>
    <w:multiLevelType w:val="multilevel"/>
    <w:tmpl w:val="E990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F4CB7"/>
    <w:multiLevelType w:val="multilevel"/>
    <w:tmpl w:val="A0DE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34620"/>
    <w:multiLevelType w:val="multilevel"/>
    <w:tmpl w:val="D5A2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37E80"/>
    <w:multiLevelType w:val="multilevel"/>
    <w:tmpl w:val="B154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8444D"/>
    <w:multiLevelType w:val="hybridMultilevel"/>
    <w:tmpl w:val="19F06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EB5033"/>
    <w:multiLevelType w:val="multilevel"/>
    <w:tmpl w:val="E198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7B2A2E"/>
    <w:multiLevelType w:val="hybridMultilevel"/>
    <w:tmpl w:val="B010D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0607EB"/>
    <w:multiLevelType w:val="multilevel"/>
    <w:tmpl w:val="E868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71008E"/>
    <w:multiLevelType w:val="multilevel"/>
    <w:tmpl w:val="DBAC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454425"/>
    <w:multiLevelType w:val="multilevel"/>
    <w:tmpl w:val="0A54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7C26DD"/>
    <w:multiLevelType w:val="hybridMultilevel"/>
    <w:tmpl w:val="66BEF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9017B2"/>
    <w:multiLevelType w:val="multilevel"/>
    <w:tmpl w:val="7E44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4B6C9D"/>
    <w:multiLevelType w:val="hybridMultilevel"/>
    <w:tmpl w:val="18CED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C22063"/>
    <w:multiLevelType w:val="multilevel"/>
    <w:tmpl w:val="69BA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B859FE"/>
    <w:multiLevelType w:val="multilevel"/>
    <w:tmpl w:val="4BF0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E24391"/>
    <w:multiLevelType w:val="hybridMultilevel"/>
    <w:tmpl w:val="8E921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1"/>
  </w:num>
  <w:num w:numId="3">
    <w:abstractNumId w:val="3"/>
  </w:num>
  <w:num w:numId="4">
    <w:abstractNumId w:val="0"/>
  </w:num>
  <w:num w:numId="5">
    <w:abstractNumId w:val="1"/>
  </w:num>
  <w:num w:numId="6">
    <w:abstractNumId w:val="14"/>
  </w:num>
  <w:num w:numId="7">
    <w:abstractNumId w:val="9"/>
  </w:num>
  <w:num w:numId="8">
    <w:abstractNumId w:val="5"/>
  </w:num>
  <w:num w:numId="9">
    <w:abstractNumId w:val="13"/>
  </w:num>
  <w:num w:numId="10">
    <w:abstractNumId w:val="7"/>
  </w:num>
  <w:num w:numId="11">
    <w:abstractNumId w:val="8"/>
  </w:num>
  <w:num w:numId="12">
    <w:abstractNumId w:val="10"/>
  </w:num>
  <w:num w:numId="13">
    <w:abstractNumId w:val="15"/>
  </w:num>
  <w:num w:numId="14">
    <w:abstractNumId w:val="6"/>
  </w:num>
  <w:num w:numId="15">
    <w:abstractNumId w:val="4"/>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CF5407-49FC-4E69-AB0A-5F677FDA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styleId="PlaceholderText">
    <w:name w:val="Placeholder Text"/>
    <w:basedOn w:val="DefaultParagraphFont"/>
    <w:uiPriority w:val="99"/>
    <w:semiHidden/>
    <w:rPr>
      <w:color w:val="808080"/>
    </w:rPr>
  </w:style>
  <w:style w:type="character" w:customStyle="1" w:styleId="mord">
    <w:name w:val="mord"/>
    <w:basedOn w:val="DefaultParagraphFont"/>
  </w:style>
  <w:style w:type="character" w:customStyle="1" w:styleId="mrel">
    <w:name w:val="mrel"/>
    <w:basedOn w:val="DefaultParagraphFont"/>
  </w:style>
  <w:style w:type="character" w:customStyle="1" w:styleId="vlist-s">
    <w:name w:val="vlist-s"/>
    <w:basedOn w:val="DefaultParagraphFont"/>
  </w:style>
  <w:style w:type="character" w:customStyle="1" w:styleId="mbin">
    <w:name w:val="mbin"/>
    <w:basedOn w:val="DefaultParagraphFont"/>
  </w:style>
  <w:style w:type="character" w:customStyle="1" w:styleId="mopen">
    <w:name w:val="mopen"/>
    <w:basedOn w:val="DefaultParagraphFont"/>
  </w:style>
  <w:style w:type="character" w:customStyle="1" w:styleId="mclose">
    <w:name w:val="mclose"/>
    <w:basedOn w:val="DefaultParagraphFont"/>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310571">
      <w:bodyDiv w:val="1"/>
      <w:marLeft w:val="0"/>
      <w:marRight w:val="0"/>
      <w:marTop w:val="0"/>
      <w:marBottom w:val="0"/>
      <w:divBdr>
        <w:top w:val="none" w:sz="0" w:space="0" w:color="auto"/>
        <w:left w:val="none" w:sz="0" w:space="0" w:color="auto"/>
        <w:bottom w:val="none" w:sz="0" w:space="0" w:color="auto"/>
        <w:right w:val="none" w:sz="0" w:space="0" w:color="auto"/>
      </w:divBdr>
    </w:div>
    <w:div w:id="1012881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DB5660-1E8D-4F49-A30F-22BC551FB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509</Words>
  <Characters>2902</Characters>
  <Application>Microsoft Office Word</Application>
  <DocSecurity>0</DocSecurity>
  <Lines>24</Lines>
  <Paragraphs>6</Paragraphs>
  <ScaleCrop>false</ScaleCrop>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Basharat</dc:creator>
  <cp:keywords/>
  <dc:description/>
  <cp:lastModifiedBy>Basharat</cp:lastModifiedBy>
  <cp:revision>16</cp:revision>
  <dcterms:created xsi:type="dcterms:W3CDTF">2026-01-13T04:04:00Z</dcterms:created>
  <dcterms:modified xsi:type="dcterms:W3CDTF">2026-01-13T07:56:00Z</dcterms:modified>
</cp:coreProperties>
</file>