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0"/>
        <w:jc w:val="center"/>
      </w:pPr>
      <w:r>
        <w:rPr>
          <w:rFonts w:ascii="Aptos Display" w:hAnsi="Aptos Display"/>
          <w:b/>
          <w:color w:val="1F4E79"/>
          <w:sz w:val="48"/>
        </w:rPr>
        <w:t>Test Coverage Investigation Report</w:t>
      </w:r>
    </w:p>
    <w:p>
      <w:pPr>
        <w:jc w:val="center"/>
      </w:pPr>
      <w:r>
        <w:rPr>
          <w:rFonts w:ascii="Aptos Display" w:hAnsi="Aptos Display"/>
          <w:color w:val="6B7280"/>
          <w:sz w:val="26"/>
        </w:rPr>
        <w:t>NUBL Laravel Application</w:t>
      </w:r>
    </w:p>
    <w:p/>
    <w:tbl>
      <w:tblPr>
        <w:tblW w:type="auto" w:w="0"/>
        <w:tblLook w:firstColumn="1" w:firstRow="1" w:lastColumn="0" w:lastRow="0" w:noHBand="0" w:noVBand="1" w:val="04A0"/>
      </w:tblPr>
      <w:tblGrid>
        <w:gridCol w:w="10224"/>
      </w:tblGrid>
      <w:tr>
        <w:tc>
          <w:tcPr>
            <w:tcW w:type="dxa" w:w="10224"/>
            <w:shd w:fill="E2F0D9"/>
            <w:tcBorders>
              <w:top w:val="single" w:sz="8" w:space="0" w:color="B7C9D6"/>
              <w:left w:val="single" w:sz="8" w:space="0" w:color="B7C9D6"/>
              <w:bottom w:val="single" w:sz="8" w:space="0" w:color="B7C9D6"/>
              <w:right w:val="single" w:sz="8" w:space="0" w:color="B7C9D6"/>
              <w:insideH w:val="single" w:sz="8" w:space="0" w:color="B7C9D6"/>
              <w:insideV w:val="single" w:sz="8" w:space="0" w:color="B7C9D6"/>
            </w:tcBorders>
            <w:tcMar>
              <w:top w:w="140" w:type="dxa"/>
              <w:start w:w="180" w:type="dxa"/>
              <w:bottom w:w="140" w:type="dxa"/>
              <w:end w:w="180" w:type="dxa"/>
            </w:tcMar>
          </w:tcPr>
          <w:p>
            <w:pPr>
              <w:spacing w:after="60"/>
            </w:pPr>
            <w:r>
              <w:rPr>
                <w:rFonts w:ascii="Aptos" w:hAnsi="Aptos"/>
                <w:b/>
                <w:color w:val="1F4E79"/>
                <w:sz w:val="20"/>
              </w:rPr>
              <w:t>Final Judgment</w:t>
            </w:r>
          </w:p>
          <w:p>
            <w:pPr>
              <w:spacing w:after="0" w:line="264" w:lineRule="auto"/>
            </w:pPr>
            <w:r>
              <w:rPr>
                <w:rFonts w:ascii="Aptos" w:hAnsi="Aptos"/>
                <w:sz w:val="18"/>
              </w:rPr>
              <w:t>The PHP/Laravel application test coverage is 93.3% for the application source under app/. This judgment is supported by a successful PHPUnit coverage run using Xdebug, and by separate suite validation showing all Unit and Feature tests passing.</w:t>
            </w:r>
          </w:p>
        </w:tc>
      </w:tr>
    </w:tbl>
    <w:p/>
    <w:tbl>
      <w:tblPr>
        <w:tblStyle w:val="TableGrid"/>
        <w:tblW w:type="auto" w:w="0"/>
        <w:tblLayout w:type="fixed"/>
        <w:tblLook w:firstColumn="1" w:firstRow="1" w:lastColumn="0" w:lastRow="0" w:noHBand="0" w:noVBand="1" w:val="04A0"/>
      </w:tblPr>
      <w:tblGrid>
        <w:gridCol w:w="5112"/>
        <w:gridCol w:w="5112"/>
      </w:tblGrid>
      <w:tr>
        <w:tc>
          <w:tcPr>
            <w:tcW w:type="dxa" w:w="2592"/>
            <w:shd w:fill="1F4E79"/>
            <w:tcBorders>
              <w:top w:val="single" w:sz="8" w:space="0" w:color="B7C9D6"/>
              <w:left w:val="single" w:sz="8" w:space="0" w:color="B7C9D6"/>
              <w:bottom w:val="single" w:sz="8" w:space="0" w:color="B7C9D6"/>
              <w:right w:val="single" w:sz="8" w:space="0" w:color="B7C9D6"/>
              <w:insideH w:val="single" w:sz="8" w:space="0" w:color="B7C9D6"/>
              <w:insideV w:val="single" w:sz="8" w:space="0" w:color="B7C9D6"/>
            </w:tcBorders>
            <w:tcMar>
              <w:top w:w="100" w:type="dxa"/>
              <w:start w:w="120" w:type="dxa"/>
              <w:bottom w:w="100" w:type="dxa"/>
              <w:end w:w="120" w:type="dxa"/>
            </w:tcMar>
            <w:vAlign w:val="center"/>
          </w:tcPr>
          <w:p>
            <w:pPr>
              <w:spacing w:after="0" w:line="259" w:lineRule="auto"/>
            </w:pPr>
            <w:r/>
            <w:r>
              <w:rPr>
                <w:rFonts w:ascii="Aptos" w:hAnsi="Aptos"/>
                <w:b/>
                <w:color w:val="FFFFFF"/>
                <w:sz w:val="16"/>
              </w:rPr>
              <w:t>Field</w:t>
            </w:r>
          </w:p>
        </w:tc>
        <w:tc>
          <w:tcPr>
            <w:tcW w:type="dxa" w:w="8064"/>
            <w:shd w:fill="1F4E79"/>
            <w:tcBorders>
              <w:top w:val="single" w:sz="8" w:space="0" w:color="B7C9D6"/>
              <w:left w:val="single" w:sz="8" w:space="0" w:color="B7C9D6"/>
              <w:bottom w:val="single" w:sz="8" w:space="0" w:color="B7C9D6"/>
              <w:right w:val="single" w:sz="8" w:space="0" w:color="B7C9D6"/>
              <w:insideH w:val="single" w:sz="8" w:space="0" w:color="B7C9D6"/>
              <w:insideV w:val="single" w:sz="8" w:space="0" w:color="B7C9D6"/>
            </w:tcBorders>
            <w:tcMar>
              <w:top w:w="100" w:type="dxa"/>
              <w:start w:w="120" w:type="dxa"/>
              <w:bottom w:w="100" w:type="dxa"/>
              <w:end w:w="120" w:type="dxa"/>
            </w:tcMar>
            <w:vAlign w:val="center"/>
          </w:tcPr>
          <w:p>
            <w:pPr>
              <w:spacing w:after="0" w:line="259" w:lineRule="auto"/>
            </w:pPr>
            <w:r/>
            <w:r>
              <w:rPr>
                <w:rFonts w:ascii="Aptos" w:hAnsi="Aptos"/>
                <w:b/>
                <w:color w:val="FFFFFF"/>
                <w:sz w:val="16"/>
              </w:rPr>
              <w:t>Evidence</w:t>
            </w:r>
          </w:p>
        </w:tc>
      </w:tr>
      <w:tr>
        <w:tc>
          <w:tcPr>
            <w:tcW w:type="dxa" w:w="2592"/>
            <w:tcBorders>
              <w:top w:val="single" w:sz="8" w:space="0" w:color="B7C9D6"/>
              <w:left w:val="single" w:sz="8" w:space="0" w:color="B7C9D6"/>
              <w:bottom w:val="single" w:sz="8" w:space="0" w:color="B7C9D6"/>
              <w:right w:val="single" w:sz="8" w:space="0" w:color="B7C9D6"/>
              <w:insideH w:val="single" w:sz="8" w:space="0" w:color="B7C9D6"/>
              <w:insideV w:val="single" w:sz="8" w:space="0" w:color="B7C9D6"/>
            </w:tcBorders>
            <w:tcMar>
              <w:top w:w="100" w:type="dxa"/>
              <w:start w:w="120" w:type="dxa"/>
              <w:bottom w:w="100" w:type="dxa"/>
              <w:end w:w="120" w:type="dxa"/>
            </w:tcMar>
            <w:vAlign w:val="center"/>
          </w:tcPr>
          <w:p>
            <w:pPr>
              <w:spacing w:after="0" w:line="259" w:lineRule="auto"/>
            </w:pPr>
            <w:r/>
            <w:r>
              <w:rPr>
                <w:rFonts w:ascii="Aptos" w:hAnsi="Aptos"/>
                <w:b w:val="0"/>
                <w:sz w:val="16"/>
              </w:rPr>
              <w:t>Project path</w:t>
            </w:r>
          </w:p>
        </w:tc>
        <w:tc>
          <w:tcPr>
            <w:tcW w:type="dxa" w:w="8064"/>
            <w:tcBorders>
              <w:top w:val="single" w:sz="8" w:space="0" w:color="B7C9D6"/>
              <w:left w:val="single" w:sz="8" w:space="0" w:color="B7C9D6"/>
              <w:bottom w:val="single" w:sz="8" w:space="0" w:color="B7C9D6"/>
              <w:right w:val="single" w:sz="8" w:space="0" w:color="B7C9D6"/>
              <w:insideH w:val="single" w:sz="8" w:space="0" w:color="B7C9D6"/>
              <w:insideV w:val="single" w:sz="8" w:space="0" w:color="B7C9D6"/>
            </w:tcBorders>
            <w:tcMar>
              <w:top w:w="100" w:type="dxa"/>
              <w:start w:w="120" w:type="dxa"/>
              <w:bottom w:w="100" w:type="dxa"/>
              <w:end w:w="120" w:type="dxa"/>
            </w:tcMar>
            <w:vAlign w:val="center"/>
          </w:tcPr>
          <w:p>
            <w:pPr>
              <w:spacing w:after="0" w:line="259" w:lineRule="auto"/>
            </w:pPr>
            <w:r/>
            <w:r>
              <w:rPr>
                <w:rFonts w:ascii="Aptos" w:hAnsi="Aptos"/>
                <w:b w:val="0"/>
                <w:sz w:val="16"/>
              </w:rPr>
              <w:t>C:\Users\basha\SE\nubl</w:t>
            </w:r>
          </w:p>
        </w:tc>
      </w:tr>
      <w:tr>
        <w:tc>
          <w:tcPr>
            <w:tcW w:type="dxa" w:w="2592"/>
            <w:tcBorders>
              <w:top w:val="single" w:sz="8" w:space="0" w:color="B7C9D6"/>
              <w:left w:val="single" w:sz="8" w:space="0" w:color="B7C9D6"/>
              <w:bottom w:val="single" w:sz="8" w:space="0" w:color="B7C9D6"/>
              <w:right w:val="single" w:sz="8" w:space="0" w:color="B7C9D6"/>
              <w:insideH w:val="single" w:sz="8" w:space="0" w:color="B7C9D6"/>
              <w:insideV w:val="single" w:sz="8" w:space="0" w:color="B7C9D6"/>
            </w:tcBorders>
            <w:tcMar>
              <w:top w:w="100" w:type="dxa"/>
              <w:start w:w="120" w:type="dxa"/>
              <w:bottom w:w="100" w:type="dxa"/>
              <w:end w:w="120" w:type="dxa"/>
            </w:tcMar>
            <w:vAlign w:val="center"/>
          </w:tcPr>
          <w:p>
            <w:pPr>
              <w:spacing w:after="0" w:line="259" w:lineRule="auto"/>
            </w:pPr>
            <w:r/>
            <w:r>
              <w:rPr>
                <w:rFonts w:ascii="Aptos" w:hAnsi="Aptos"/>
                <w:b w:val="0"/>
                <w:sz w:val="16"/>
              </w:rPr>
              <w:t>Report timestamp</w:t>
            </w:r>
          </w:p>
        </w:tc>
        <w:tc>
          <w:tcPr>
            <w:tcW w:type="dxa" w:w="8064"/>
            <w:tcBorders>
              <w:top w:val="single" w:sz="8" w:space="0" w:color="B7C9D6"/>
              <w:left w:val="single" w:sz="8" w:space="0" w:color="B7C9D6"/>
              <w:bottom w:val="single" w:sz="8" w:space="0" w:color="B7C9D6"/>
              <w:right w:val="single" w:sz="8" w:space="0" w:color="B7C9D6"/>
              <w:insideH w:val="single" w:sz="8" w:space="0" w:color="B7C9D6"/>
              <w:insideV w:val="single" w:sz="8" w:space="0" w:color="B7C9D6"/>
            </w:tcBorders>
            <w:tcMar>
              <w:top w:w="100" w:type="dxa"/>
              <w:start w:w="120" w:type="dxa"/>
              <w:bottom w:w="100" w:type="dxa"/>
              <w:end w:w="120" w:type="dxa"/>
            </w:tcMar>
            <w:vAlign w:val="center"/>
          </w:tcPr>
          <w:p>
            <w:pPr>
              <w:spacing w:after="0" w:line="259" w:lineRule="auto"/>
            </w:pPr>
            <w:r/>
            <w:r>
              <w:rPr>
                <w:rFonts w:ascii="Aptos" w:hAnsi="Aptos"/>
                <w:b w:val="0"/>
                <w:sz w:val="16"/>
              </w:rPr>
              <w:t>2026-05-07 22:00:19 +03:00</w:t>
            </w:r>
          </w:p>
        </w:tc>
      </w:tr>
      <w:tr>
        <w:tc>
          <w:tcPr>
            <w:tcW w:type="dxa" w:w="2592"/>
            <w:tcBorders>
              <w:top w:val="single" w:sz="8" w:space="0" w:color="B7C9D6"/>
              <w:left w:val="single" w:sz="8" w:space="0" w:color="B7C9D6"/>
              <w:bottom w:val="single" w:sz="8" w:space="0" w:color="B7C9D6"/>
              <w:right w:val="single" w:sz="8" w:space="0" w:color="B7C9D6"/>
              <w:insideH w:val="single" w:sz="8" w:space="0" w:color="B7C9D6"/>
              <w:insideV w:val="single" w:sz="8" w:space="0" w:color="B7C9D6"/>
            </w:tcBorders>
            <w:tcMar>
              <w:top w:w="100" w:type="dxa"/>
              <w:start w:w="120" w:type="dxa"/>
              <w:bottom w:w="100" w:type="dxa"/>
              <w:end w:w="120" w:type="dxa"/>
            </w:tcMar>
            <w:vAlign w:val="center"/>
          </w:tcPr>
          <w:p>
            <w:pPr>
              <w:spacing w:after="0" w:line="259" w:lineRule="auto"/>
            </w:pPr>
            <w:r/>
            <w:r>
              <w:rPr>
                <w:rFonts w:ascii="Aptos" w:hAnsi="Aptos"/>
                <w:b w:val="0"/>
                <w:sz w:val="16"/>
              </w:rPr>
              <w:t>Git commit</w:t>
            </w:r>
          </w:p>
        </w:tc>
        <w:tc>
          <w:tcPr>
            <w:tcW w:type="dxa" w:w="8064"/>
            <w:tcBorders>
              <w:top w:val="single" w:sz="8" w:space="0" w:color="B7C9D6"/>
              <w:left w:val="single" w:sz="8" w:space="0" w:color="B7C9D6"/>
              <w:bottom w:val="single" w:sz="8" w:space="0" w:color="B7C9D6"/>
              <w:right w:val="single" w:sz="8" w:space="0" w:color="B7C9D6"/>
              <w:insideH w:val="single" w:sz="8" w:space="0" w:color="B7C9D6"/>
              <w:insideV w:val="single" w:sz="8" w:space="0" w:color="B7C9D6"/>
            </w:tcBorders>
            <w:tcMar>
              <w:top w:w="100" w:type="dxa"/>
              <w:start w:w="120" w:type="dxa"/>
              <w:bottom w:w="100" w:type="dxa"/>
              <w:end w:w="120" w:type="dxa"/>
            </w:tcMar>
            <w:vAlign w:val="center"/>
          </w:tcPr>
          <w:p>
            <w:pPr>
              <w:spacing w:after="0" w:line="259" w:lineRule="auto"/>
              <w:jc w:val="center"/>
            </w:pPr>
            <w:r/>
            <w:r>
              <w:rPr>
                <w:rFonts w:ascii="Aptos" w:hAnsi="Aptos"/>
                <w:b w:val="0"/>
                <w:sz w:val="16"/>
              </w:rPr>
              <w:t>ed13a87</w:t>
            </w:r>
          </w:p>
        </w:tc>
      </w:tr>
      <w:tr>
        <w:tc>
          <w:tcPr>
            <w:tcW w:type="dxa" w:w="2592"/>
            <w:tcBorders>
              <w:top w:val="single" w:sz="8" w:space="0" w:color="B7C9D6"/>
              <w:left w:val="single" w:sz="8" w:space="0" w:color="B7C9D6"/>
              <w:bottom w:val="single" w:sz="8" w:space="0" w:color="B7C9D6"/>
              <w:right w:val="single" w:sz="8" w:space="0" w:color="B7C9D6"/>
              <w:insideH w:val="single" w:sz="8" w:space="0" w:color="B7C9D6"/>
              <w:insideV w:val="single" w:sz="8" w:space="0" w:color="B7C9D6"/>
            </w:tcBorders>
            <w:tcMar>
              <w:top w:w="100" w:type="dxa"/>
              <w:start w:w="120" w:type="dxa"/>
              <w:bottom w:w="100" w:type="dxa"/>
              <w:end w:w="120" w:type="dxa"/>
            </w:tcMar>
            <w:vAlign w:val="center"/>
          </w:tcPr>
          <w:p>
            <w:pPr>
              <w:spacing w:after="0" w:line="259" w:lineRule="auto"/>
            </w:pPr>
            <w:r/>
            <w:r>
              <w:rPr>
                <w:rFonts w:ascii="Aptos" w:hAnsi="Aptos"/>
                <w:b w:val="0"/>
                <w:sz w:val="16"/>
              </w:rPr>
              <w:t>Working tree</w:t>
            </w:r>
          </w:p>
        </w:tc>
        <w:tc>
          <w:tcPr>
            <w:tcW w:type="dxa" w:w="8064"/>
            <w:tcBorders>
              <w:top w:val="single" w:sz="8" w:space="0" w:color="B7C9D6"/>
              <w:left w:val="single" w:sz="8" w:space="0" w:color="B7C9D6"/>
              <w:bottom w:val="single" w:sz="8" w:space="0" w:color="B7C9D6"/>
              <w:right w:val="single" w:sz="8" w:space="0" w:color="B7C9D6"/>
              <w:insideH w:val="single" w:sz="8" w:space="0" w:color="B7C9D6"/>
              <w:insideV w:val="single" w:sz="8" w:space="0" w:color="B7C9D6"/>
            </w:tcBorders>
            <w:tcMar>
              <w:top w:w="100" w:type="dxa"/>
              <w:start w:w="120" w:type="dxa"/>
              <w:bottom w:w="100" w:type="dxa"/>
              <w:end w:w="120" w:type="dxa"/>
            </w:tcMar>
            <w:vAlign w:val="center"/>
          </w:tcPr>
          <w:p>
            <w:pPr>
              <w:spacing w:after="0" w:line="259" w:lineRule="auto"/>
            </w:pPr>
            <w:r/>
            <w:r>
              <w:rPr>
                <w:rFonts w:ascii="Aptos" w:hAnsi="Aptos"/>
                <w:b w:val="0"/>
                <w:sz w:val="16"/>
              </w:rPr>
              <w:t>Clean at the time of evidence capture</w:t>
            </w:r>
          </w:p>
        </w:tc>
      </w:tr>
      <w:tr>
        <w:tc>
          <w:tcPr>
            <w:tcW w:type="dxa" w:w="2592"/>
            <w:tcBorders>
              <w:top w:val="single" w:sz="8" w:space="0" w:color="B7C9D6"/>
              <w:left w:val="single" w:sz="8" w:space="0" w:color="B7C9D6"/>
              <w:bottom w:val="single" w:sz="8" w:space="0" w:color="B7C9D6"/>
              <w:right w:val="single" w:sz="8" w:space="0" w:color="B7C9D6"/>
              <w:insideH w:val="single" w:sz="8" w:space="0" w:color="B7C9D6"/>
              <w:insideV w:val="single" w:sz="8" w:space="0" w:color="B7C9D6"/>
            </w:tcBorders>
            <w:tcMar>
              <w:top w:w="100" w:type="dxa"/>
              <w:start w:w="120" w:type="dxa"/>
              <w:bottom w:w="100" w:type="dxa"/>
              <w:end w:w="120" w:type="dxa"/>
            </w:tcMar>
            <w:vAlign w:val="center"/>
          </w:tcPr>
          <w:p>
            <w:pPr>
              <w:spacing w:after="0" w:line="259" w:lineRule="auto"/>
            </w:pPr>
            <w:r/>
            <w:r>
              <w:rPr>
                <w:rFonts w:ascii="Aptos" w:hAnsi="Aptos"/>
                <w:b w:val="0"/>
                <w:sz w:val="16"/>
              </w:rPr>
              <w:t>PHP runtime</w:t>
            </w:r>
          </w:p>
        </w:tc>
        <w:tc>
          <w:tcPr>
            <w:tcW w:type="dxa" w:w="8064"/>
            <w:tcBorders>
              <w:top w:val="single" w:sz="8" w:space="0" w:color="B7C9D6"/>
              <w:left w:val="single" w:sz="8" w:space="0" w:color="B7C9D6"/>
              <w:bottom w:val="single" w:sz="8" w:space="0" w:color="B7C9D6"/>
              <w:right w:val="single" w:sz="8" w:space="0" w:color="B7C9D6"/>
              <w:insideH w:val="single" w:sz="8" w:space="0" w:color="B7C9D6"/>
              <w:insideV w:val="single" w:sz="8" w:space="0" w:color="B7C9D6"/>
            </w:tcBorders>
            <w:tcMar>
              <w:top w:w="100" w:type="dxa"/>
              <w:start w:w="120" w:type="dxa"/>
              <w:bottom w:w="100" w:type="dxa"/>
              <w:end w:w="120" w:type="dxa"/>
            </w:tcMar>
            <w:vAlign w:val="center"/>
          </w:tcPr>
          <w:p>
            <w:pPr>
              <w:spacing w:after="0" w:line="259" w:lineRule="auto"/>
              <w:jc w:val="center"/>
            </w:pPr>
            <w:r/>
            <w:r>
              <w:rPr>
                <w:rFonts w:ascii="Aptos" w:hAnsi="Aptos"/>
                <w:b w:val="0"/>
                <w:sz w:val="16"/>
              </w:rPr>
              <w:t>PHP 8.3.16 CLI</w:t>
            </w:r>
          </w:p>
        </w:tc>
      </w:tr>
      <w:tr>
        <w:tc>
          <w:tcPr>
            <w:tcW w:type="dxa" w:w="2592"/>
            <w:tcBorders>
              <w:top w:val="single" w:sz="8" w:space="0" w:color="B7C9D6"/>
              <w:left w:val="single" w:sz="8" w:space="0" w:color="B7C9D6"/>
              <w:bottom w:val="single" w:sz="8" w:space="0" w:color="B7C9D6"/>
              <w:right w:val="single" w:sz="8" w:space="0" w:color="B7C9D6"/>
              <w:insideH w:val="single" w:sz="8" w:space="0" w:color="B7C9D6"/>
              <w:insideV w:val="single" w:sz="8" w:space="0" w:color="B7C9D6"/>
            </w:tcBorders>
            <w:tcMar>
              <w:top w:w="100" w:type="dxa"/>
              <w:start w:w="120" w:type="dxa"/>
              <w:bottom w:w="100" w:type="dxa"/>
              <w:end w:w="120" w:type="dxa"/>
            </w:tcMar>
            <w:vAlign w:val="center"/>
          </w:tcPr>
          <w:p>
            <w:pPr>
              <w:spacing w:after="0" w:line="259" w:lineRule="auto"/>
            </w:pPr>
            <w:r/>
            <w:r>
              <w:rPr>
                <w:rFonts w:ascii="Aptos" w:hAnsi="Aptos"/>
                <w:b w:val="0"/>
                <w:sz w:val="16"/>
              </w:rPr>
              <w:t>Coverage driver</w:t>
            </w:r>
          </w:p>
        </w:tc>
        <w:tc>
          <w:tcPr>
            <w:tcW w:type="dxa" w:w="8064"/>
            <w:tcBorders>
              <w:top w:val="single" w:sz="8" w:space="0" w:color="B7C9D6"/>
              <w:left w:val="single" w:sz="8" w:space="0" w:color="B7C9D6"/>
              <w:bottom w:val="single" w:sz="8" w:space="0" w:color="B7C9D6"/>
              <w:right w:val="single" w:sz="8" w:space="0" w:color="B7C9D6"/>
              <w:insideH w:val="single" w:sz="8" w:space="0" w:color="B7C9D6"/>
              <w:insideV w:val="single" w:sz="8" w:space="0" w:color="B7C9D6"/>
            </w:tcBorders>
            <w:tcMar>
              <w:top w:w="100" w:type="dxa"/>
              <w:start w:w="120" w:type="dxa"/>
              <w:bottom w:w="100" w:type="dxa"/>
              <w:end w:w="120" w:type="dxa"/>
            </w:tcMar>
            <w:vAlign w:val="center"/>
          </w:tcPr>
          <w:p>
            <w:pPr>
              <w:spacing w:after="0" w:line="259" w:lineRule="auto"/>
              <w:jc w:val="center"/>
            </w:pPr>
            <w:r/>
            <w:r>
              <w:rPr>
                <w:rFonts w:ascii="Aptos" w:hAnsi="Aptos"/>
                <w:b w:val="0"/>
                <w:sz w:val="16"/>
              </w:rPr>
              <w:t>Xdebug 3.5.1</w:t>
            </w:r>
          </w:p>
        </w:tc>
      </w:tr>
    </w:tbl>
    <w:p/>
    <w:p>
      <w:r>
        <w:br w:type="page"/>
      </w:r>
    </w:p>
    <w:p>
      <w:pPr>
        <w:pStyle w:val="Heading1"/>
        <w:spacing w:before="240" w:after="80"/>
      </w:pPr>
      <w:r>
        <w:rPr>
          <w:rFonts w:ascii="Aptos Display" w:hAnsi="Aptos Display"/>
          <w:color w:val="1F4E79"/>
        </w:rPr>
        <w:t>1. Executive Summary</w:t>
      </w:r>
    </w:p>
    <w:p>
      <w:pPr>
        <w:spacing w:after="100" w:line="269" w:lineRule="auto"/>
      </w:pPr>
      <w:r>
        <w:rPr>
          <w:rFonts w:ascii="Aptos" w:hAnsi="Aptos"/>
          <w:sz w:val="19"/>
        </w:rPr>
        <w:t>The project was investigated as a Laravel/PHP application with PHPUnit configured for two PHP test suites: Unit and Feature. Xdebug was available in the PHP runtime, so line coverage could be measured directly. The authoritative coverage command completed successfully and reported a total coverage of 93.3%.</w:t>
      </w:r>
    </w:p>
    <w:tbl>
      <w:tblPr>
        <w:tblStyle w:val="TableGrid"/>
        <w:tblW w:type="auto" w:w="0"/>
        <w:tblLayout w:type="fixed"/>
        <w:tblLook w:firstColumn="1" w:firstRow="1" w:lastColumn="0" w:lastRow="0" w:noHBand="0" w:noVBand="1" w:val="04A0"/>
      </w:tblPr>
      <w:tblGrid>
        <w:gridCol w:w="3408"/>
        <w:gridCol w:w="3408"/>
        <w:gridCol w:w="3408"/>
      </w:tblGrid>
      <w:tr>
        <w:tc>
          <w:tcPr>
            <w:tcW w:type="dxa" w:w="2880"/>
            <w:shd w:fill="1F4E79"/>
            <w:tcBorders>
              <w:top w:val="single" w:sz="8" w:space="0" w:color="B7C9D6"/>
              <w:left w:val="single" w:sz="8" w:space="0" w:color="B7C9D6"/>
              <w:bottom w:val="single" w:sz="8" w:space="0" w:color="B7C9D6"/>
              <w:right w:val="single" w:sz="8" w:space="0" w:color="B7C9D6"/>
              <w:insideH w:val="single" w:sz="8" w:space="0" w:color="B7C9D6"/>
              <w:insideV w:val="single" w:sz="8" w:space="0" w:color="B7C9D6"/>
            </w:tcBorders>
            <w:tcMar>
              <w:top w:w="100" w:type="dxa"/>
              <w:start w:w="120" w:type="dxa"/>
              <w:bottom w:w="100" w:type="dxa"/>
              <w:end w:w="120" w:type="dxa"/>
            </w:tcMar>
            <w:vAlign w:val="center"/>
          </w:tcPr>
          <w:p>
            <w:pPr>
              <w:spacing w:after="0" w:line="259" w:lineRule="auto"/>
            </w:pPr>
            <w:r/>
            <w:r>
              <w:rPr>
                <w:rFonts w:ascii="Aptos" w:hAnsi="Aptos"/>
                <w:b/>
                <w:color w:val="FFFFFF"/>
                <w:sz w:val="16"/>
              </w:rPr>
              <w:t>Metric</w:t>
            </w:r>
          </w:p>
        </w:tc>
        <w:tc>
          <w:tcPr>
            <w:tcW w:type="dxa" w:w="2088"/>
            <w:shd w:fill="1F4E79"/>
            <w:tcBorders>
              <w:top w:val="single" w:sz="8" w:space="0" w:color="B7C9D6"/>
              <w:left w:val="single" w:sz="8" w:space="0" w:color="B7C9D6"/>
              <w:bottom w:val="single" w:sz="8" w:space="0" w:color="B7C9D6"/>
              <w:right w:val="single" w:sz="8" w:space="0" w:color="B7C9D6"/>
              <w:insideH w:val="single" w:sz="8" w:space="0" w:color="B7C9D6"/>
              <w:insideV w:val="single" w:sz="8" w:space="0" w:color="B7C9D6"/>
            </w:tcBorders>
            <w:tcMar>
              <w:top w:w="100" w:type="dxa"/>
              <w:start w:w="120" w:type="dxa"/>
              <w:bottom w:w="100" w:type="dxa"/>
              <w:end w:w="120" w:type="dxa"/>
            </w:tcMar>
            <w:vAlign w:val="center"/>
          </w:tcPr>
          <w:p>
            <w:pPr>
              <w:spacing w:after="0" w:line="259" w:lineRule="auto"/>
            </w:pPr>
            <w:r/>
            <w:r>
              <w:rPr>
                <w:rFonts w:ascii="Aptos" w:hAnsi="Aptos"/>
                <w:b/>
                <w:color w:val="FFFFFF"/>
                <w:sz w:val="16"/>
              </w:rPr>
              <w:t>Result</w:t>
            </w:r>
          </w:p>
        </w:tc>
        <w:tc>
          <w:tcPr>
            <w:tcW w:type="dxa" w:w="5904"/>
            <w:shd w:fill="1F4E79"/>
            <w:tcBorders>
              <w:top w:val="single" w:sz="8" w:space="0" w:color="B7C9D6"/>
              <w:left w:val="single" w:sz="8" w:space="0" w:color="B7C9D6"/>
              <w:bottom w:val="single" w:sz="8" w:space="0" w:color="B7C9D6"/>
              <w:right w:val="single" w:sz="8" w:space="0" w:color="B7C9D6"/>
              <w:insideH w:val="single" w:sz="8" w:space="0" w:color="B7C9D6"/>
              <w:insideV w:val="single" w:sz="8" w:space="0" w:color="B7C9D6"/>
            </w:tcBorders>
            <w:tcMar>
              <w:top w:w="100" w:type="dxa"/>
              <w:start w:w="120" w:type="dxa"/>
              <w:bottom w:w="100" w:type="dxa"/>
              <w:end w:w="120" w:type="dxa"/>
            </w:tcMar>
            <w:vAlign w:val="center"/>
          </w:tcPr>
          <w:p>
            <w:pPr>
              <w:spacing w:after="0" w:line="259" w:lineRule="auto"/>
            </w:pPr>
            <w:r/>
            <w:r>
              <w:rPr>
                <w:rFonts w:ascii="Aptos" w:hAnsi="Aptos"/>
                <w:b/>
                <w:color w:val="FFFFFF"/>
                <w:sz w:val="16"/>
              </w:rPr>
              <w:t>Evidence</w:t>
            </w:r>
          </w:p>
        </w:tc>
      </w:tr>
      <w:tr>
        <w:tc>
          <w:tcPr>
            <w:tcW w:type="dxa" w:w="2880"/>
            <w:tcBorders>
              <w:top w:val="single" w:sz="8" w:space="0" w:color="B7C9D6"/>
              <w:left w:val="single" w:sz="8" w:space="0" w:color="B7C9D6"/>
              <w:bottom w:val="single" w:sz="8" w:space="0" w:color="B7C9D6"/>
              <w:right w:val="single" w:sz="8" w:space="0" w:color="B7C9D6"/>
              <w:insideH w:val="single" w:sz="8" w:space="0" w:color="B7C9D6"/>
              <w:insideV w:val="single" w:sz="8" w:space="0" w:color="B7C9D6"/>
            </w:tcBorders>
            <w:tcMar>
              <w:top w:w="100" w:type="dxa"/>
              <w:start w:w="120" w:type="dxa"/>
              <w:bottom w:w="100" w:type="dxa"/>
              <w:end w:w="120" w:type="dxa"/>
            </w:tcMar>
            <w:vAlign w:val="center"/>
          </w:tcPr>
          <w:p>
            <w:pPr>
              <w:spacing w:after="0" w:line="259" w:lineRule="auto"/>
            </w:pPr>
            <w:r/>
            <w:r>
              <w:rPr>
                <w:rFonts w:ascii="Aptos" w:hAnsi="Aptos"/>
                <w:b w:val="0"/>
                <w:sz w:val="16"/>
              </w:rPr>
              <w:t>Overall PHP coverage</w:t>
            </w:r>
          </w:p>
        </w:tc>
        <w:tc>
          <w:tcPr>
            <w:tcW w:type="dxa" w:w="2088"/>
            <w:tcBorders>
              <w:top w:val="single" w:sz="8" w:space="0" w:color="B7C9D6"/>
              <w:left w:val="single" w:sz="8" w:space="0" w:color="B7C9D6"/>
              <w:bottom w:val="single" w:sz="8" w:space="0" w:color="B7C9D6"/>
              <w:right w:val="single" w:sz="8" w:space="0" w:color="B7C9D6"/>
              <w:insideH w:val="single" w:sz="8" w:space="0" w:color="B7C9D6"/>
              <w:insideV w:val="single" w:sz="8" w:space="0" w:color="B7C9D6"/>
            </w:tcBorders>
            <w:tcMar>
              <w:top w:w="100" w:type="dxa"/>
              <w:start w:w="120" w:type="dxa"/>
              <w:bottom w:w="100" w:type="dxa"/>
              <w:end w:w="120" w:type="dxa"/>
            </w:tcMar>
            <w:vAlign w:val="center"/>
          </w:tcPr>
          <w:p>
            <w:pPr>
              <w:spacing w:after="0" w:line="259" w:lineRule="auto"/>
              <w:jc w:val="center"/>
            </w:pPr>
            <w:r/>
            <w:r>
              <w:rPr>
                <w:rFonts w:ascii="Aptos" w:hAnsi="Aptos"/>
                <w:b w:val="0"/>
                <w:sz w:val="16"/>
              </w:rPr>
              <w:t>93.3%</w:t>
            </w:r>
          </w:p>
        </w:tc>
        <w:tc>
          <w:tcPr>
            <w:tcW w:type="dxa" w:w="5904"/>
            <w:tcBorders>
              <w:top w:val="single" w:sz="8" w:space="0" w:color="B7C9D6"/>
              <w:left w:val="single" w:sz="8" w:space="0" w:color="B7C9D6"/>
              <w:bottom w:val="single" w:sz="8" w:space="0" w:color="B7C9D6"/>
              <w:right w:val="single" w:sz="8" w:space="0" w:color="B7C9D6"/>
              <w:insideH w:val="single" w:sz="8" w:space="0" w:color="B7C9D6"/>
              <w:insideV w:val="single" w:sz="8" w:space="0" w:color="B7C9D6"/>
            </w:tcBorders>
            <w:tcMar>
              <w:top w:w="100" w:type="dxa"/>
              <w:start w:w="120" w:type="dxa"/>
              <w:bottom w:w="100" w:type="dxa"/>
              <w:end w:w="120" w:type="dxa"/>
            </w:tcMar>
            <w:vAlign w:val="center"/>
          </w:tcPr>
          <w:p>
            <w:pPr>
              <w:spacing w:after="0" w:line="259" w:lineRule="auto"/>
            </w:pPr>
            <w:r/>
            <w:r>
              <w:rPr>
                <w:rFonts w:ascii="Aptos" w:hAnsi="Aptos"/>
                <w:b w:val="0"/>
                <w:sz w:val="16"/>
              </w:rPr>
              <w:t>php artisan test --coverage reported: Total: 93.3%</w:t>
            </w:r>
          </w:p>
        </w:tc>
      </w:tr>
      <w:tr>
        <w:tc>
          <w:tcPr>
            <w:tcW w:type="dxa" w:w="2880"/>
            <w:tcBorders>
              <w:top w:val="single" w:sz="8" w:space="0" w:color="B7C9D6"/>
              <w:left w:val="single" w:sz="8" w:space="0" w:color="B7C9D6"/>
              <w:bottom w:val="single" w:sz="8" w:space="0" w:color="B7C9D6"/>
              <w:right w:val="single" w:sz="8" w:space="0" w:color="B7C9D6"/>
              <w:insideH w:val="single" w:sz="8" w:space="0" w:color="B7C9D6"/>
              <w:insideV w:val="single" w:sz="8" w:space="0" w:color="B7C9D6"/>
            </w:tcBorders>
            <w:tcMar>
              <w:top w:w="100" w:type="dxa"/>
              <w:start w:w="120" w:type="dxa"/>
              <w:bottom w:w="100" w:type="dxa"/>
              <w:end w:w="120" w:type="dxa"/>
            </w:tcMar>
            <w:vAlign w:val="center"/>
          </w:tcPr>
          <w:p>
            <w:pPr>
              <w:spacing w:after="0" w:line="259" w:lineRule="auto"/>
            </w:pPr>
            <w:r/>
            <w:r>
              <w:rPr>
                <w:rFonts w:ascii="Aptos" w:hAnsi="Aptos"/>
                <w:b w:val="0"/>
                <w:sz w:val="16"/>
              </w:rPr>
              <w:t>PHP test result</w:t>
            </w:r>
          </w:p>
        </w:tc>
        <w:tc>
          <w:tcPr>
            <w:tcW w:type="dxa" w:w="2088"/>
            <w:tcBorders>
              <w:top w:val="single" w:sz="8" w:space="0" w:color="B7C9D6"/>
              <w:left w:val="single" w:sz="8" w:space="0" w:color="B7C9D6"/>
              <w:bottom w:val="single" w:sz="8" w:space="0" w:color="B7C9D6"/>
              <w:right w:val="single" w:sz="8" w:space="0" w:color="B7C9D6"/>
              <w:insideH w:val="single" w:sz="8" w:space="0" w:color="B7C9D6"/>
              <w:insideV w:val="single" w:sz="8" w:space="0" w:color="B7C9D6"/>
            </w:tcBorders>
            <w:tcMar>
              <w:top w:w="100" w:type="dxa"/>
              <w:start w:w="120" w:type="dxa"/>
              <w:bottom w:w="100" w:type="dxa"/>
              <w:end w:w="120" w:type="dxa"/>
            </w:tcMar>
            <w:vAlign w:val="center"/>
          </w:tcPr>
          <w:p>
            <w:pPr>
              <w:spacing w:after="0" w:line="259" w:lineRule="auto"/>
              <w:jc w:val="center"/>
            </w:pPr>
            <w:r/>
            <w:r>
              <w:rPr>
                <w:rFonts w:ascii="Aptos" w:hAnsi="Aptos"/>
                <w:b w:val="0"/>
                <w:sz w:val="16"/>
              </w:rPr>
              <w:t>784 passed</w:t>
            </w:r>
          </w:p>
        </w:tc>
        <w:tc>
          <w:tcPr>
            <w:tcW w:type="dxa" w:w="5904"/>
            <w:tcBorders>
              <w:top w:val="single" w:sz="8" w:space="0" w:color="B7C9D6"/>
              <w:left w:val="single" w:sz="8" w:space="0" w:color="B7C9D6"/>
              <w:bottom w:val="single" w:sz="8" w:space="0" w:color="B7C9D6"/>
              <w:right w:val="single" w:sz="8" w:space="0" w:color="B7C9D6"/>
              <w:insideH w:val="single" w:sz="8" w:space="0" w:color="B7C9D6"/>
              <w:insideV w:val="single" w:sz="8" w:space="0" w:color="B7C9D6"/>
            </w:tcBorders>
            <w:tcMar>
              <w:top w:w="100" w:type="dxa"/>
              <w:start w:w="120" w:type="dxa"/>
              <w:bottom w:w="100" w:type="dxa"/>
              <w:end w:w="120" w:type="dxa"/>
            </w:tcMar>
            <w:vAlign w:val="center"/>
          </w:tcPr>
          <w:p>
            <w:pPr>
              <w:spacing w:after="0" w:line="259" w:lineRule="auto"/>
            </w:pPr>
            <w:r/>
            <w:r>
              <w:rPr>
                <w:rFonts w:ascii="Aptos" w:hAnsi="Aptos"/>
                <w:b w:val="0"/>
                <w:sz w:val="16"/>
              </w:rPr>
              <w:t>php artisan test --compact</w:t>
            </w:r>
          </w:p>
        </w:tc>
      </w:tr>
      <w:tr>
        <w:tc>
          <w:tcPr>
            <w:tcW w:type="dxa" w:w="2880"/>
            <w:tcBorders>
              <w:top w:val="single" w:sz="8" w:space="0" w:color="B7C9D6"/>
              <w:left w:val="single" w:sz="8" w:space="0" w:color="B7C9D6"/>
              <w:bottom w:val="single" w:sz="8" w:space="0" w:color="B7C9D6"/>
              <w:right w:val="single" w:sz="8" w:space="0" w:color="B7C9D6"/>
              <w:insideH w:val="single" w:sz="8" w:space="0" w:color="B7C9D6"/>
              <w:insideV w:val="single" w:sz="8" w:space="0" w:color="B7C9D6"/>
            </w:tcBorders>
            <w:tcMar>
              <w:top w:w="100" w:type="dxa"/>
              <w:start w:w="120" w:type="dxa"/>
              <w:bottom w:w="100" w:type="dxa"/>
              <w:end w:w="120" w:type="dxa"/>
            </w:tcMar>
            <w:vAlign w:val="center"/>
          </w:tcPr>
          <w:p>
            <w:pPr>
              <w:spacing w:after="0" w:line="259" w:lineRule="auto"/>
            </w:pPr>
            <w:r/>
            <w:r>
              <w:rPr>
                <w:rFonts w:ascii="Aptos" w:hAnsi="Aptos"/>
                <w:b w:val="0"/>
                <w:sz w:val="16"/>
              </w:rPr>
              <w:t>Assertions</w:t>
            </w:r>
          </w:p>
        </w:tc>
        <w:tc>
          <w:tcPr>
            <w:tcW w:type="dxa" w:w="2088"/>
            <w:tcBorders>
              <w:top w:val="single" w:sz="8" w:space="0" w:color="B7C9D6"/>
              <w:left w:val="single" w:sz="8" w:space="0" w:color="B7C9D6"/>
              <w:bottom w:val="single" w:sz="8" w:space="0" w:color="B7C9D6"/>
              <w:right w:val="single" w:sz="8" w:space="0" w:color="B7C9D6"/>
              <w:insideH w:val="single" w:sz="8" w:space="0" w:color="B7C9D6"/>
              <w:insideV w:val="single" w:sz="8" w:space="0" w:color="B7C9D6"/>
            </w:tcBorders>
            <w:tcMar>
              <w:top w:w="100" w:type="dxa"/>
              <w:start w:w="120" w:type="dxa"/>
              <w:bottom w:w="100" w:type="dxa"/>
              <w:end w:w="120" w:type="dxa"/>
            </w:tcMar>
            <w:vAlign w:val="center"/>
          </w:tcPr>
          <w:p>
            <w:pPr>
              <w:spacing w:after="0" w:line="259" w:lineRule="auto"/>
              <w:jc w:val="center"/>
            </w:pPr>
            <w:r/>
            <w:r>
              <w:rPr>
                <w:rFonts w:ascii="Aptos" w:hAnsi="Aptos"/>
                <w:b w:val="0"/>
                <w:sz w:val="16"/>
              </w:rPr>
              <w:t>2,658</w:t>
            </w:r>
          </w:p>
        </w:tc>
        <w:tc>
          <w:tcPr>
            <w:tcW w:type="dxa" w:w="5904"/>
            <w:tcBorders>
              <w:top w:val="single" w:sz="8" w:space="0" w:color="B7C9D6"/>
              <w:left w:val="single" w:sz="8" w:space="0" w:color="B7C9D6"/>
              <w:bottom w:val="single" w:sz="8" w:space="0" w:color="B7C9D6"/>
              <w:right w:val="single" w:sz="8" w:space="0" w:color="B7C9D6"/>
              <w:insideH w:val="single" w:sz="8" w:space="0" w:color="B7C9D6"/>
              <w:insideV w:val="single" w:sz="8" w:space="0" w:color="B7C9D6"/>
            </w:tcBorders>
            <w:tcMar>
              <w:top w:w="100" w:type="dxa"/>
              <w:start w:w="120" w:type="dxa"/>
              <w:bottom w:w="100" w:type="dxa"/>
              <w:end w:w="120" w:type="dxa"/>
            </w:tcMar>
            <w:vAlign w:val="center"/>
          </w:tcPr>
          <w:p>
            <w:pPr>
              <w:spacing w:after="0" w:line="259" w:lineRule="auto"/>
            </w:pPr>
            <w:r/>
            <w:r>
              <w:rPr>
                <w:rFonts w:ascii="Aptos" w:hAnsi="Aptos"/>
                <w:b w:val="0"/>
                <w:sz w:val="16"/>
              </w:rPr>
              <w:t>php artisan test --compact</w:t>
            </w:r>
          </w:p>
        </w:tc>
      </w:tr>
      <w:tr>
        <w:tc>
          <w:tcPr>
            <w:tcW w:type="dxa" w:w="2880"/>
            <w:tcBorders>
              <w:top w:val="single" w:sz="8" w:space="0" w:color="B7C9D6"/>
              <w:left w:val="single" w:sz="8" w:space="0" w:color="B7C9D6"/>
              <w:bottom w:val="single" w:sz="8" w:space="0" w:color="B7C9D6"/>
              <w:right w:val="single" w:sz="8" w:space="0" w:color="B7C9D6"/>
              <w:insideH w:val="single" w:sz="8" w:space="0" w:color="B7C9D6"/>
              <w:insideV w:val="single" w:sz="8" w:space="0" w:color="B7C9D6"/>
            </w:tcBorders>
            <w:tcMar>
              <w:top w:w="100" w:type="dxa"/>
              <w:start w:w="120" w:type="dxa"/>
              <w:bottom w:w="100" w:type="dxa"/>
              <w:end w:w="120" w:type="dxa"/>
            </w:tcMar>
            <w:vAlign w:val="center"/>
          </w:tcPr>
          <w:p>
            <w:pPr>
              <w:spacing w:after="0" w:line="259" w:lineRule="auto"/>
            </w:pPr>
            <w:r/>
            <w:r>
              <w:rPr>
                <w:rFonts w:ascii="Aptos" w:hAnsi="Aptos"/>
                <w:b w:val="0"/>
                <w:sz w:val="16"/>
              </w:rPr>
              <w:t>Unit tests</w:t>
            </w:r>
          </w:p>
        </w:tc>
        <w:tc>
          <w:tcPr>
            <w:tcW w:type="dxa" w:w="2088"/>
            <w:tcBorders>
              <w:top w:val="single" w:sz="8" w:space="0" w:color="B7C9D6"/>
              <w:left w:val="single" w:sz="8" w:space="0" w:color="B7C9D6"/>
              <w:bottom w:val="single" w:sz="8" w:space="0" w:color="B7C9D6"/>
              <w:right w:val="single" w:sz="8" w:space="0" w:color="B7C9D6"/>
              <w:insideH w:val="single" w:sz="8" w:space="0" w:color="B7C9D6"/>
              <w:insideV w:val="single" w:sz="8" w:space="0" w:color="B7C9D6"/>
            </w:tcBorders>
            <w:tcMar>
              <w:top w:w="100" w:type="dxa"/>
              <w:start w:w="120" w:type="dxa"/>
              <w:bottom w:w="100" w:type="dxa"/>
              <w:end w:w="120" w:type="dxa"/>
            </w:tcMar>
            <w:vAlign w:val="center"/>
          </w:tcPr>
          <w:p>
            <w:pPr>
              <w:spacing w:after="0" w:line="259" w:lineRule="auto"/>
              <w:jc w:val="center"/>
            </w:pPr>
            <w:r/>
            <w:r>
              <w:rPr>
                <w:rFonts w:ascii="Aptos" w:hAnsi="Aptos"/>
                <w:b w:val="0"/>
                <w:sz w:val="16"/>
              </w:rPr>
              <w:t>243 passed</w:t>
            </w:r>
          </w:p>
        </w:tc>
        <w:tc>
          <w:tcPr>
            <w:tcW w:type="dxa" w:w="5904"/>
            <w:tcBorders>
              <w:top w:val="single" w:sz="8" w:space="0" w:color="B7C9D6"/>
              <w:left w:val="single" w:sz="8" w:space="0" w:color="B7C9D6"/>
              <w:bottom w:val="single" w:sz="8" w:space="0" w:color="B7C9D6"/>
              <w:right w:val="single" w:sz="8" w:space="0" w:color="B7C9D6"/>
              <w:insideH w:val="single" w:sz="8" w:space="0" w:color="B7C9D6"/>
              <w:insideV w:val="single" w:sz="8" w:space="0" w:color="B7C9D6"/>
            </w:tcBorders>
            <w:tcMar>
              <w:top w:w="100" w:type="dxa"/>
              <w:start w:w="120" w:type="dxa"/>
              <w:bottom w:w="100" w:type="dxa"/>
              <w:end w:w="120" w:type="dxa"/>
            </w:tcMar>
            <w:vAlign w:val="center"/>
          </w:tcPr>
          <w:p>
            <w:pPr>
              <w:spacing w:after="0" w:line="259" w:lineRule="auto"/>
            </w:pPr>
            <w:r/>
            <w:r>
              <w:rPr>
                <w:rFonts w:ascii="Aptos" w:hAnsi="Aptos"/>
                <w:b w:val="0"/>
                <w:sz w:val="16"/>
              </w:rPr>
              <w:t>php artisan test --testsuite=Unit --compact</w:t>
            </w:r>
          </w:p>
        </w:tc>
      </w:tr>
      <w:tr>
        <w:tc>
          <w:tcPr>
            <w:tcW w:type="dxa" w:w="2880"/>
            <w:tcBorders>
              <w:top w:val="single" w:sz="8" w:space="0" w:color="B7C9D6"/>
              <w:left w:val="single" w:sz="8" w:space="0" w:color="B7C9D6"/>
              <w:bottom w:val="single" w:sz="8" w:space="0" w:color="B7C9D6"/>
              <w:right w:val="single" w:sz="8" w:space="0" w:color="B7C9D6"/>
              <w:insideH w:val="single" w:sz="8" w:space="0" w:color="B7C9D6"/>
              <w:insideV w:val="single" w:sz="8" w:space="0" w:color="B7C9D6"/>
            </w:tcBorders>
            <w:tcMar>
              <w:top w:w="100" w:type="dxa"/>
              <w:start w:w="120" w:type="dxa"/>
              <w:bottom w:w="100" w:type="dxa"/>
              <w:end w:w="120" w:type="dxa"/>
            </w:tcMar>
            <w:vAlign w:val="center"/>
          </w:tcPr>
          <w:p>
            <w:pPr>
              <w:spacing w:after="0" w:line="259" w:lineRule="auto"/>
            </w:pPr>
            <w:r/>
            <w:r>
              <w:rPr>
                <w:rFonts w:ascii="Aptos" w:hAnsi="Aptos"/>
                <w:b w:val="0"/>
                <w:sz w:val="16"/>
              </w:rPr>
              <w:t>Feature tests</w:t>
            </w:r>
          </w:p>
        </w:tc>
        <w:tc>
          <w:tcPr>
            <w:tcW w:type="dxa" w:w="2088"/>
            <w:tcBorders>
              <w:top w:val="single" w:sz="8" w:space="0" w:color="B7C9D6"/>
              <w:left w:val="single" w:sz="8" w:space="0" w:color="B7C9D6"/>
              <w:bottom w:val="single" w:sz="8" w:space="0" w:color="B7C9D6"/>
              <w:right w:val="single" w:sz="8" w:space="0" w:color="B7C9D6"/>
              <w:insideH w:val="single" w:sz="8" w:space="0" w:color="B7C9D6"/>
              <w:insideV w:val="single" w:sz="8" w:space="0" w:color="B7C9D6"/>
            </w:tcBorders>
            <w:tcMar>
              <w:top w:w="100" w:type="dxa"/>
              <w:start w:w="120" w:type="dxa"/>
              <w:bottom w:w="100" w:type="dxa"/>
              <w:end w:w="120" w:type="dxa"/>
            </w:tcMar>
            <w:vAlign w:val="center"/>
          </w:tcPr>
          <w:p>
            <w:pPr>
              <w:spacing w:after="0" w:line="259" w:lineRule="auto"/>
              <w:jc w:val="center"/>
            </w:pPr>
            <w:r/>
            <w:r>
              <w:rPr>
                <w:rFonts w:ascii="Aptos" w:hAnsi="Aptos"/>
                <w:b w:val="0"/>
                <w:sz w:val="16"/>
              </w:rPr>
              <w:t>541 passed</w:t>
            </w:r>
          </w:p>
        </w:tc>
        <w:tc>
          <w:tcPr>
            <w:tcW w:type="dxa" w:w="5904"/>
            <w:tcBorders>
              <w:top w:val="single" w:sz="8" w:space="0" w:color="B7C9D6"/>
              <w:left w:val="single" w:sz="8" w:space="0" w:color="B7C9D6"/>
              <w:bottom w:val="single" w:sz="8" w:space="0" w:color="B7C9D6"/>
              <w:right w:val="single" w:sz="8" w:space="0" w:color="B7C9D6"/>
              <w:insideH w:val="single" w:sz="8" w:space="0" w:color="B7C9D6"/>
              <w:insideV w:val="single" w:sz="8" w:space="0" w:color="B7C9D6"/>
            </w:tcBorders>
            <w:tcMar>
              <w:top w:w="100" w:type="dxa"/>
              <w:start w:w="120" w:type="dxa"/>
              <w:bottom w:w="100" w:type="dxa"/>
              <w:end w:w="120" w:type="dxa"/>
            </w:tcMar>
            <w:vAlign w:val="center"/>
          </w:tcPr>
          <w:p>
            <w:pPr>
              <w:spacing w:after="0" w:line="259" w:lineRule="auto"/>
            </w:pPr>
            <w:r/>
            <w:r>
              <w:rPr>
                <w:rFonts w:ascii="Aptos" w:hAnsi="Aptos"/>
                <w:b w:val="0"/>
                <w:sz w:val="16"/>
              </w:rPr>
              <w:t>php artisan test --testsuite=Feature --compact</w:t>
            </w:r>
          </w:p>
        </w:tc>
      </w:tr>
      <w:tr>
        <w:tc>
          <w:tcPr>
            <w:tcW w:type="dxa" w:w="2880"/>
            <w:tcBorders>
              <w:top w:val="single" w:sz="8" w:space="0" w:color="B7C9D6"/>
              <w:left w:val="single" w:sz="8" w:space="0" w:color="B7C9D6"/>
              <w:bottom w:val="single" w:sz="8" w:space="0" w:color="B7C9D6"/>
              <w:right w:val="single" w:sz="8" w:space="0" w:color="B7C9D6"/>
              <w:insideH w:val="single" w:sz="8" w:space="0" w:color="B7C9D6"/>
              <w:insideV w:val="single" w:sz="8" w:space="0" w:color="B7C9D6"/>
            </w:tcBorders>
            <w:tcMar>
              <w:top w:w="100" w:type="dxa"/>
              <w:start w:w="120" w:type="dxa"/>
              <w:bottom w:w="100" w:type="dxa"/>
              <w:end w:w="120" w:type="dxa"/>
            </w:tcMar>
            <w:vAlign w:val="center"/>
          </w:tcPr>
          <w:p>
            <w:pPr>
              <w:spacing w:after="0" w:line="259" w:lineRule="auto"/>
            </w:pPr>
            <w:r/>
            <w:r>
              <w:rPr>
                <w:rFonts w:ascii="Aptos" w:hAnsi="Aptos"/>
                <w:b w:val="0"/>
                <w:sz w:val="16"/>
              </w:rPr>
              <w:t>E2E tests detected</w:t>
            </w:r>
          </w:p>
        </w:tc>
        <w:tc>
          <w:tcPr>
            <w:tcW w:type="dxa" w:w="2088"/>
            <w:tcBorders>
              <w:top w:val="single" w:sz="8" w:space="0" w:color="B7C9D6"/>
              <w:left w:val="single" w:sz="8" w:space="0" w:color="B7C9D6"/>
              <w:bottom w:val="single" w:sz="8" w:space="0" w:color="B7C9D6"/>
              <w:right w:val="single" w:sz="8" w:space="0" w:color="B7C9D6"/>
              <w:insideH w:val="single" w:sz="8" w:space="0" w:color="B7C9D6"/>
              <w:insideV w:val="single" w:sz="8" w:space="0" w:color="B7C9D6"/>
            </w:tcBorders>
            <w:tcMar>
              <w:top w:w="100" w:type="dxa"/>
              <w:start w:w="120" w:type="dxa"/>
              <w:bottom w:w="100" w:type="dxa"/>
              <w:end w:w="120" w:type="dxa"/>
            </w:tcMar>
            <w:vAlign w:val="center"/>
          </w:tcPr>
          <w:p>
            <w:pPr>
              <w:spacing w:after="0" w:line="259" w:lineRule="auto"/>
              <w:jc w:val="center"/>
            </w:pPr>
            <w:r/>
            <w:r>
              <w:rPr>
                <w:rFonts w:ascii="Aptos" w:hAnsi="Aptos"/>
                <w:b w:val="0"/>
                <w:sz w:val="16"/>
              </w:rPr>
              <w:t>5 files</w:t>
            </w:r>
          </w:p>
        </w:tc>
        <w:tc>
          <w:tcPr>
            <w:tcW w:type="dxa" w:w="5904"/>
            <w:tcBorders>
              <w:top w:val="single" w:sz="8" w:space="0" w:color="B7C9D6"/>
              <w:left w:val="single" w:sz="8" w:space="0" w:color="B7C9D6"/>
              <w:bottom w:val="single" w:sz="8" w:space="0" w:color="B7C9D6"/>
              <w:right w:val="single" w:sz="8" w:space="0" w:color="B7C9D6"/>
              <w:insideH w:val="single" w:sz="8" w:space="0" w:color="B7C9D6"/>
              <w:insideV w:val="single" w:sz="8" w:space="0" w:color="B7C9D6"/>
            </w:tcBorders>
            <w:tcMar>
              <w:top w:w="100" w:type="dxa"/>
              <w:start w:w="120" w:type="dxa"/>
              <w:bottom w:w="100" w:type="dxa"/>
              <w:end w:w="120" w:type="dxa"/>
            </w:tcMar>
            <w:vAlign w:val="center"/>
          </w:tcPr>
          <w:p>
            <w:pPr>
              <w:spacing w:after="0" w:line="259" w:lineRule="auto"/>
            </w:pPr>
            <w:r/>
            <w:r>
              <w:rPr>
                <w:rFonts w:ascii="Aptos" w:hAnsi="Aptos"/>
                <w:b w:val="0"/>
                <w:sz w:val="16"/>
              </w:rPr>
              <w:t>tests/e2e plus Playwright scripts in package.json</w:t>
            </w:r>
          </w:p>
        </w:tc>
      </w:tr>
    </w:tbl>
    <w:p/>
    <w:tbl>
      <w:tblPr>
        <w:tblW w:type="auto" w:w="0"/>
        <w:tblLook w:firstColumn="1" w:firstRow="1" w:lastColumn="0" w:lastRow="0" w:noHBand="0" w:noVBand="1" w:val="04A0"/>
      </w:tblPr>
      <w:tblGrid>
        <w:gridCol w:w="10224"/>
      </w:tblGrid>
      <w:tr>
        <w:tc>
          <w:tcPr>
            <w:tcW w:type="dxa" w:w="10224"/>
            <w:shd w:fill="EEF6FC"/>
            <w:tcBorders>
              <w:top w:val="single" w:sz="8" w:space="0" w:color="B7C9D6"/>
              <w:left w:val="single" w:sz="8" w:space="0" w:color="B7C9D6"/>
              <w:bottom w:val="single" w:sz="8" w:space="0" w:color="B7C9D6"/>
              <w:right w:val="single" w:sz="8" w:space="0" w:color="B7C9D6"/>
              <w:insideH w:val="single" w:sz="8" w:space="0" w:color="B7C9D6"/>
              <w:insideV w:val="single" w:sz="8" w:space="0" w:color="B7C9D6"/>
            </w:tcBorders>
            <w:tcMar>
              <w:top w:w="140" w:type="dxa"/>
              <w:start w:w="180" w:type="dxa"/>
              <w:bottom w:w="140" w:type="dxa"/>
              <w:end w:w="180" w:type="dxa"/>
            </w:tcMar>
          </w:tcPr>
          <w:p>
            <w:pPr>
              <w:spacing w:after="60"/>
            </w:pPr>
            <w:r>
              <w:rPr>
                <w:rFonts w:ascii="Aptos" w:hAnsi="Aptos"/>
                <w:b/>
                <w:color w:val="1F4E79"/>
                <w:sz w:val="20"/>
              </w:rPr>
              <w:t>Scope clarification</w:t>
            </w:r>
          </w:p>
          <w:p>
            <w:pPr>
              <w:spacing w:after="0" w:line="264" w:lineRule="auto"/>
            </w:pPr>
            <w:r>
              <w:rPr>
                <w:rFonts w:ascii="Aptos" w:hAnsi="Aptos"/>
                <w:sz w:val="18"/>
              </w:rPr>
              <w:t>The 93.3% value is PHPUnit coverage for Laravel application code included by phpunit.xml under app/. It does not include Playwright E2E coverage or front-end JavaScript coverage, because those are executed through separate npm scripts and are outside the PHPUnit coverage report.</w:t>
            </w:r>
          </w:p>
        </w:tc>
      </w:tr>
    </w:tbl>
    <w:p/>
    <w:p>
      <w:pPr>
        <w:pStyle w:val="Heading1"/>
        <w:spacing w:before="240" w:after="80"/>
      </w:pPr>
      <w:r>
        <w:rPr>
          <w:rFonts w:ascii="Aptos Display" w:hAnsi="Aptos Display"/>
          <w:color w:val="1F4E79"/>
        </w:rPr>
        <w:t>2. Evidence Chain</w:t>
      </w:r>
    </w:p>
    <w:tbl>
      <w:tblPr>
        <w:tblStyle w:val="TableGrid"/>
        <w:tblW w:type="auto" w:w="0"/>
        <w:tblLayout w:type="fixed"/>
        <w:tblLook w:firstColumn="1" w:firstRow="1" w:lastColumn="0" w:lastRow="0" w:noHBand="0" w:noVBand="1" w:val="04A0"/>
      </w:tblPr>
      <w:tblGrid>
        <w:gridCol w:w="2556"/>
        <w:gridCol w:w="2556"/>
        <w:gridCol w:w="2556"/>
        <w:gridCol w:w="2556"/>
      </w:tblGrid>
      <w:tr>
        <w:tc>
          <w:tcPr>
            <w:tcW w:type="dxa" w:w="648"/>
            <w:shd w:fill="1F4E79"/>
            <w:tcBorders>
              <w:top w:val="single" w:sz="8" w:space="0" w:color="B7C9D6"/>
              <w:left w:val="single" w:sz="8" w:space="0" w:color="B7C9D6"/>
              <w:bottom w:val="single" w:sz="8" w:space="0" w:color="B7C9D6"/>
              <w:right w:val="single" w:sz="8" w:space="0" w:color="B7C9D6"/>
              <w:insideH w:val="single" w:sz="8" w:space="0" w:color="B7C9D6"/>
              <w:insideV w:val="single" w:sz="8" w:space="0" w:color="B7C9D6"/>
            </w:tcBorders>
            <w:tcMar>
              <w:top w:w="100" w:type="dxa"/>
              <w:start w:w="120" w:type="dxa"/>
              <w:bottom w:w="100" w:type="dxa"/>
              <w:end w:w="120" w:type="dxa"/>
            </w:tcMar>
            <w:vAlign w:val="center"/>
          </w:tcPr>
          <w:p>
            <w:pPr>
              <w:spacing w:after="0" w:line="259" w:lineRule="auto"/>
            </w:pPr>
            <w:r/>
            <w:r>
              <w:rPr>
                <w:rFonts w:ascii="Aptos" w:hAnsi="Aptos"/>
                <w:b/>
                <w:color w:val="FFFFFF"/>
                <w:sz w:val="16"/>
              </w:rPr>
              <w:t>Step</w:t>
            </w:r>
          </w:p>
        </w:tc>
        <w:tc>
          <w:tcPr>
            <w:tcW w:type="dxa" w:w="3240"/>
            <w:shd w:fill="1F4E79"/>
            <w:tcBorders>
              <w:top w:val="single" w:sz="8" w:space="0" w:color="B7C9D6"/>
              <w:left w:val="single" w:sz="8" w:space="0" w:color="B7C9D6"/>
              <w:bottom w:val="single" w:sz="8" w:space="0" w:color="B7C9D6"/>
              <w:right w:val="single" w:sz="8" w:space="0" w:color="B7C9D6"/>
              <w:insideH w:val="single" w:sz="8" w:space="0" w:color="B7C9D6"/>
              <w:insideV w:val="single" w:sz="8" w:space="0" w:color="B7C9D6"/>
            </w:tcBorders>
            <w:tcMar>
              <w:top w:w="100" w:type="dxa"/>
              <w:start w:w="120" w:type="dxa"/>
              <w:bottom w:w="100" w:type="dxa"/>
              <w:end w:w="120" w:type="dxa"/>
            </w:tcMar>
            <w:vAlign w:val="center"/>
          </w:tcPr>
          <w:p>
            <w:pPr>
              <w:spacing w:after="0" w:line="259" w:lineRule="auto"/>
            </w:pPr>
            <w:r/>
            <w:r>
              <w:rPr>
                <w:rFonts w:ascii="Aptos" w:hAnsi="Aptos"/>
                <w:b/>
                <w:color w:val="FFFFFF"/>
                <w:sz w:val="16"/>
              </w:rPr>
              <w:t>Investigation action</w:t>
            </w:r>
          </w:p>
        </w:tc>
        <w:tc>
          <w:tcPr>
            <w:tcW w:type="dxa" w:w="3384"/>
            <w:shd w:fill="1F4E79"/>
            <w:tcBorders>
              <w:top w:val="single" w:sz="8" w:space="0" w:color="B7C9D6"/>
              <w:left w:val="single" w:sz="8" w:space="0" w:color="B7C9D6"/>
              <w:bottom w:val="single" w:sz="8" w:space="0" w:color="B7C9D6"/>
              <w:right w:val="single" w:sz="8" w:space="0" w:color="B7C9D6"/>
              <w:insideH w:val="single" w:sz="8" w:space="0" w:color="B7C9D6"/>
              <w:insideV w:val="single" w:sz="8" w:space="0" w:color="B7C9D6"/>
            </w:tcBorders>
            <w:tcMar>
              <w:top w:w="100" w:type="dxa"/>
              <w:start w:w="120" w:type="dxa"/>
              <w:bottom w:w="100" w:type="dxa"/>
              <w:end w:w="120" w:type="dxa"/>
            </w:tcMar>
            <w:vAlign w:val="center"/>
          </w:tcPr>
          <w:p>
            <w:pPr>
              <w:spacing w:after="0" w:line="259" w:lineRule="auto"/>
            </w:pPr>
            <w:r/>
            <w:r>
              <w:rPr>
                <w:rFonts w:ascii="Aptos" w:hAnsi="Aptos"/>
                <w:b/>
                <w:color w:val="FFFFFF"/>
                <w:sz w:val="16"/>
              </w:rPr>
              <w:t>Evidence source</w:t>
            </w:r>
          </w:p>
        </w:tc>
        <w:tc>
          <w:tcPr>
            <w:tcW w:type="dxa" w:w="3528"/>
            <w:shd w:fill="1F4E79"/>
            <w:tcBorders>
              <w:top w:val="single" w:sz="8" w:space="0" w:color="B7C9D6"/>
              <w:left w:val="single" w:sz="8" w:space="0" w:color="B7C9D6"/>
              <w:bottom w:val="single" w:sz="8" w:space="0" w:color="B7C9D6"/>
              <w:right w:val="single" w:sz="8" w:space="0" w:color="B7C9D6"/>
              <w:insideH w:val="single" w:sz="8" w:space="0" w:color="B7C9D6"/>
              <w:insideV w:val="single" w:sz="8" w:space="0" w:color="B7C9D6"/>
            </w:tcBorders>
            <w:tcMar>
              <w:top w:w="100" w:type="dxa"/>
              <w:start w:w="120" w:type="dxa"/>
              <w:bottom w:w="100" w:type="dxa"/>
              <w:end w:w="120" w:type="dxa"/>
            </w:tcMar>
            <w:vAlign w:val="center"/>
          </w:tcPr>
          <w:p>
            <w:pPr>
              <w:spacing w:after="0" w:line="259" w:lineRule="auto"/>
            </w:pPr>
            <w:r/>
            <w:r>
              <w:rPr>
                <w:rFonts w:ascii="Aptos" w:hAnsi="Aptos"/>
                <w:b/>
                <w:color w:val="FFFFFF"/>
                <w:sz w:val="16"/>
              </w:rPr>
              <w:t>Conclusion</w:t>
            </w:r>
          </w:p>
        </w:tc>
      </w:tr>
      <w:tr>
        <w:tc>
          <w:tcPr>
            <w:tcW w:type="dxa" w:w="648"/>
            <w:tcBorders>
              <w:top w:val="single" w:sz="8" w:space="0" w:color="B7C9D6"/>
              <w:left w:val="single" w:sz="8" w:space="0" w:color="B7C9D6"/>
              <w:bottom w:val="single" w:sz="8" w:space="0" w:color="B7C9D6"/>
              <w:right w:val="single" w:sz="8" w:space="0" w:color="B7C9D6"/>
              <w:insideH w:val="single" w:sz="8" w:space="0" w:color="B7C9D6"/>
              <w:insideV w:val="single" w:sz="8" w:space="0" w:color="B7C9D6"/>
            </w:tcBorders>
            <w:tcMar>
              <w:top w:w="100" w:type="dxa"/>
              <w:start w:w="120" w:type="dxa"/>
              <w:bottom w:w="100" w:type="dxa"/>
              <w:end w:w="120" w:type="dxa"/>
            </w:tcMar>
            <w:vAlign w:val="center"/>
          </w:tcPr>
          <w:p>
            <w:pPr>
              <w:spacing w:after="0" w:line="259" w:lineRule="auto"/>
            </w:pPr>
            <w:r/>
            <w:r>
              <w:rPr>
                <w:rFonts w:ascii="Aptos" w:hAnsi="Aptos"/>
                <w:b w:val="0"/>
                <w:sz w:val="16"/>
              </w:rPr>
              <w:t>1</w:t>
            </w:r>
          </w:p>
        </w:tc>
        <w:tc>
          <w:tcPr>
            <w:tcW w:type="dxa" w:w="3240"/>
            <w:tcBorders>
              <w:top w:val="single" w:sz="8" w:space="0" w:color="B7C9D6"/>
              <w:left w:val="single" w:sz="8" w:space="0" w:color="B7C9D6"/>
              <w:bottom w:val="single" w:sz="8" w:space="0" w:color="B7C9D6"/>
              <w:right w:val="single" w:sz="8" w:space="0" w:color="B7C9D6"/>
              <w:insideH w:val="single" w:sz="8" w:space="0" w:color="B7C9D6"/>
              <w:insideV w:val="single" w:sz="8" w:space="0" w:color="B7C9D6"/>
            </w:tcBorders>
            <w:tcMar>
              <w:top w:w="100" w:type="dxa"/>
              <w:start w:w="120" w:type="dxa"/>
              <w:bottom w:w="100" w:type="dxa"/>
              <w:end w:w="120" w:type="dxa"/>
            </w:tcMar>
            <w:vAlign w:val="center"/>
          </w:tcPr>
          <w:p>
            <w:pPr>
              <w:spacing w:after="0" w:line="259" w:lineRule="auto"/>
            </w:pPr>
            <w:r/>
            <w:r>
              <w:rPr>
                <w:rFonts w:ascii="Aptos" w:hAnsi="Aptos"/>
                <w:b w:val="0"/>
                <w:sz w:val="16"/>
              </w:rPr>
              <w:t>Identify framework and test tooling</w:t>
            </w:r>
          </w:p>
        </w:tc>
        <w:tc>
          <w:tcPr>
            <w:tcW w:type="dxa" w:w="3384"/>
            <w:tcBorders>
              <w:top w:val="single" w:sz="8" w:space="0" w:color="B7C9D6"/>
              <w:left w:val="single" w:sz="8" w:space="0" w:color="B7C9D6"/>
              <w:bottom w:val="single" w:sz="8" w:space="0" w:color="B7C9D6"/>
              <w:right w:val="single" w:sz="8" w:space="0" w:color="B7C9D6"/>
              <w:insideH w:val="single" w:sz="8" w:space="0" w:color="B7C9D6"/>
              <w:insideV w:val="single" w:sz="8" w:space="0" w:color="B7C9D6"/>
            </w:tcBorders>
            <w:tcMar>
              <w:top w:w="100" w:type="dxa"/>
              <w:start w:w="120" w:type="dxa"/>
              <w:bottom w:w="100" w:type="dxa"/>
              <w:end w:w="120" w:type="dxa"/>
            </w:tcMar>
            <w:vAlign w:val="center"/>
          </w:tcPr>
          <w:p>
            <w:pPr>
              <w:spacing w:after="0" w:line="259" w:lineRule="auto"/>
            </w:pPr>
            <w:r/>
            <w:r>
              <w:rPr>
                <w:rFonts w:ascii="Aptos" w:hAnsi="Aptos"/>
                <w:b w:val="0"/>
                <w:sz w:val="16"/>
              </w:rPr>
              <w:t>composer.json, artisan, phpunit.xml</w:t>
            </w:r>
          </w:p>
        </w:tc>
        <w:tc>
          <w:tcPr>
            <w:tcW w:type="dxa" w:w="3528"/>
            <w:tcBorders>
              <w:top w:val="single" w:sz="8" w:space="0" w:color="B7C9D6"/>
              <w:left w:val="single" w:sz="8" w:space="0" w:color="B7C9D6"/>
              <w:bottom w:val="single" w:sz="8" w:space="0" w:color="B7C9D6"/>
              <w:right w:val="single" w:sz="8" w:space="0" w:color="B7C9D6"/>
              <w:insideH w:val="single" w:sz="8" w:space="0" w:color="B7C9D6"/>
              <w:insideV w:val="single" w:sz="8" w:space="0" w:color="B7C9D6"/>
            </w:tcBorders>
            <w:tcMar>
              <w:top w:w="100" w:type="dxa"/>
              <w:start w:w="120" w:type="dxa"/>
              <w:bottom w:w="100" w:type="dxa"/>
              <w:end w:w="120" w:type="dxa"/>
            </w:tcMar>
            <w:vAlign w:val="center"/>
          </w:tcPr>
          <w:p>
            <w:pPr>
              <w:spacing w:after="0" w:line="259" w:lineRule="auto"/>
            </w:pPr>
            <w:r/>
            <w:r>
              <w:rPr>
                <w:rFonts w:ascii="Aptos" w:hAnsi="Aptos"/>
                <w:b w:val="0"/>
                <w:sz w:val="16"/>
              </w:rPr>
              <w:t>Laravel 12 project using PHPUnit</w:t>
            </w:r>
          </w:p>
        </w:tc>
      </w:tr>
      <w:tr>
        <w:tc>
          <w:tcPr>
            <w:tcW w:type="dxa" w:w="648"/>
            <w:tcBorders>
              <w:top w:val="single" w:sz="8" w:space="0" w:color="B7C9D6"/>
              <w:left w:val="single" w:sz="8" w:space="0" w:color="B7C9D6"/>
              <w:bottom w:val="single" w:sz="8" w:space="0" w:color="B7C9D6"/>
              <w:right w:val="single" w:sz="8" w:space="0" w:color="B7C9D6"/>
              <w:insideH w:val="single" w:sz="8" w:space="0" w:color="B7C9D6"/>
              <w:insideV w:val="single" w:sz="8" w:space="0" w:color="B7C9D6"/>
            </w:tcBorders>
            <w:tcMar>
              <w:top w:w="100" w:type="dxa"/>
              <w:start w:w="120" w:type="dxa"/>
              <w:bottom w:w="100" w:type="dxa"/>
              <w:end w:w="120" w:type="dxa"/>
            </w:tcMar>
            <w:vAlign w:val="center"/>
          </w:tcPr>
          <w:p>
            <w:pPr>
              <w:spacing w:after="0" w:line="259" w:lineRule="auto"/>
            </w:pPr>
            <w:r/>
            <w:r>
              <w:rPr>
                <w:rFonts w:ascii="Aptos" w:hAnsi="Aptos"/>
                <w:b w:val="0"/>
                <w:sz w:val="16"/>
              </w:rPr>
              <w:t>2</w:t>
            </w:r>
          </w:p>
        </w:tc>
        <w:tc>
          <w:tcPr>
            <w:tcW w:type="dxa" w:w="3240"/>
            <w:tcBorders>
              <w:top w:val="single" w:sz="8" w:space="0" w:color="B7C9D6"/>
              <w:left w:val="single" w:sz="8" w:space="0" w:color="B7C9D6"/>
              <w:bottom w:val="single" w:sz="8" w:space="0" w:color="B7C9D6"/>
              <w:right w:val="single" w:sz="8" w:space="0" w:color="B7C9D6"/>
              <w:insideH w:val="single" w:sz="8" w:space="0" w:color="B7C9D6"/>
              <w:insideV w:val="single" w:sz="8" w:space="0" w:color="B7C9D6"/>
            </w:tcBorders>
            <w:tcMar>
              <w:top w:w="100" w:type="dxa"/>
              <w:start w:w="120" w:type="dxa"/>
              <w:bottom w:w="100" w:type="dxa"/>
              <w:end w:w="120" w:type="dxa"/>
            </w:tcMar>
            <w:vAlign w:val="center"/>
          </w:tcPr>
          <w:p>
            <w:pPr>
              <w:spacing w:after="0" w:line="259" w:lineRule="auto"/>
            </w:pPr>
            <w:r/>
            <w:r>
              <w:rPr>
                <w:rFonts w:ascii="Aptos" w:hAnsi="Aptos"/>
                <w:b w:val="0"/>
                <w:sz w:val="16"/>
              </w:rPr>
              <w:t>Confirm test suite structure</w:t>
            </w:r>
          </w:p>
        </w:tc>
        <w:tc>
          <w:tcPr>
            <w:tcW w:type="dxa" w:w="3384"/>
            <w:tcBorders>
              <w:top w:val="single" w:sz="8" w:space="0" w:color="B7C9D6"/>
              <w:left w:val="single" w:sz="8" w:space="0" w:color="B7C9D6"/>
              <w:bottom w:val="single" w:sz="8" w:space="0" w:color="B7C9D6"/>
              <w:right w:val="single" w:sz="8" w:space="0" w:color="B7C9D6"/>
              <w:insideH w:val="single" w:sz="8" w:space="0" w:color="B7C9D6"/>
              <w:insideV w:val="single" w:sz="8" w:space="0" w:color="B7C9D6"/>
            </w:tcBorders>
            <w:tcMar>
              <w:top w:w="100" w:type="dxa"/>
              <w:start w:w="120" w:type="dxa"/>
              <w:bottom w:w="100" w:type="dxa"/>
              <w:end w:w="120" w:type="dxa"/>
            </w:tcMar>
            <w:vAlign w:val="center"/>
          </w:tcPr>
          <w:p>
            <w:pPr>
              <w:spacing w:after="0" w:line="259" w:lineRule="auto"/>
            </w:pPr>
            <w:r/>
            <w:r>
              <w:rPr>
                <w:rFonts w:ascii="Aptos" w:hAnsi="Aptos"/>
                <w:b w:val="0"/>
                <w:sz w:val="16"/>
              </w:rPr>
              <w:t>phpunit.xml and tests folder</w:t>
            </w:r>
          </w:p>
        </w:tc>
        <w:tc>
          <w:tcPr>
            <w:tcW w:type="dxa" w:w="3528"/>
            <w:tcBorders>
              <w:top w:val="single" w:sz="8" w:space="0" w:color="B7C9D6"/>
              <w:left w:val="single" w:sz="8" w:space="0" w:color="B7C9D6"/>
              <w:bottom w:val="single" w:sz="8" w:space="0" w:color="B7C9D6"/>
              <w:right w:val="single" w:sz="8" w:space="0" w:color="B7C9D6"/>
              <w:insideH w:val="single" w:sz="8" w:space="0" w:color="B7C9D6"/>
              <w:insideV w:val="single" w:sz="8" w:space="0" w:color="B7C9D6"/>
            </w:tcBorders>
            <w:tcMar>
              <w:top w:w="100" w:type="dxa"/>
              <w:start w:w="120" w:type="dxa"/>
              <w:bottom w:w="100" w:type="dxa"/>
              <w:end w:w="120" w:type="dxa"/>
            </w:tcMar>
            <w:vAlign w:val="center"/>
          </w:tcPr>
          <w:p>
            <w:pPr>
              <w:spacing w:after="0" w:line="259" w:lineRule="auto"/>
            </w:pPr>
            <w:r/>
            <w:r>
              <w:rPr>
                <w:rFonts w:ascii="Aptos" w:hAnsi="Aptos"/>
                <w:b w:val="0"/>
                <w:sz w:val="16"/>
              </w:rPr>
              <w:t>Two PHPUnit suites: Unit and Feature</w:t>
            </w:r>
          </w:p>
        </w:tc>
      </w:tr>
      <w:tr>
        <w:tc>
          <w:tcPr>
            <w:tcW w:type="dxa" w:w="648"/>
            <w:tcBorders>
              <w:top w:val="single" w:sz="8" w:space="0" w:color="B7C9D6"/>
              <w:left w:val="single" w:sz="8" w:space="0" w:color="B7C9D6"/>
              <w:bottom w:val="single" w:sz="8" w:space="0" w:color="B7C9D6"/>
              <w:right w:val="single" w:sz="8" w:space="0" w:color="B7C9D6"/>
              <w:insideH w:val="single" w:sz="8" w:space="0" w:color="B7C9D6"/>
              <w:insideV w:val="single" w:sz="8" w:space="0" w:color="B7C9D6"/>
            </w:tcBorders>
            <w:tcMar>
              <w:top w:w="100" w:type="dxa"/>
              <w:start w:w="120" w:type="dxa"/>
              <w:bottom w:w="100" w:type="dxa"/>
              <w:end w:w="120" w:type="dxa"/>
            </w:tcMar>
            <w:vAlign w:val="center"/>
          </w:tcPr>
          <w:p>
            <w:pPr>
              <w:spacing w:after="0" w:line="259" w:lineRule="auto"/>
            </w:pPr>
            <w:r/>
            <w:r>
              <w:rPr>
                <w:rFonts w:ascii="Aptos" w:hAnsi="Aptos"/>
                <w:b w:val="0"/>
                <w:sz w:val="16"/>
              </w:rPr>
              <w:t>3</w:t>
            </w:r>
          </w:p>
        </w:tc>
        <w:tc>
          <w:tcPr>
            <w:tcW w:type="dxa" w:w="3240"/>
            <w:tcBorders>
              <w:top w:val="single" w:sz="8" w:space="0" w:color="B7C9D6"/>
              <w:left w:val="single" w:sz="8" w:space="0" w:color="B7C9D6"/>
              <w:bottom w:val="single" w:sz="8" w:space="0" w:color="B7C9D6"/>
              <w:right w:val="single" w:sz="8" w:space="0" w:color="B7C9D6"/>
              <w:insideH w:val="single" w:sz="8" w:space="0" w:color="B7C9D6"/>
              <w:insideV w:val="single" w:sz="8" w:space="0" w:color="B7C9D6"/>
            </w:tcBorders>
            <w:tcMar>
              <w:top w:w="100" w:type="dxa"/>
              <w:start w:w="120" w:type="dxa"/>
              <w:bottom w:w="100" w:type="dxa"/>
              <w:end w:w="120" w:type="dxa"/>
            </w:tcMar>
            <w:vAlign w:val="center"/>
          </w:tcPr>
          <w:p>
            <w:pPr>
              <w:spacing w:after="0" w:line="259" w:lineRule="auto"/>
            </w:pPr>
            <w:r/>
            <w:r>
              <w:rPr>
                <w:rFonts w:ascii="Aptos" w:hAnsi="Aptos"/>
                <w:b w:val="0"/>
                <w:sz w:val="16"/>
              </w:rPr>
              <w:t>Confirm coverage capability</w:t>
            </w:r>
          </w:p>
        </w:tc>
        <w:tc>
          <w:tcPr>
            <w:tcW w:type="dxa" w:w="3384"/>
            <w:tcBorders>
              <w:top w:val="single" w:sz="8" w:space="0" w:color="B7C9D6"/>
              <w:left w:val="single" w:sz="8" w:space="0" w:color="B7C9D6"/>
              <w:bottom w:val="single" w:sz="8" w:space="0" w:color="B7C9D6"/>
              <w:right w:val="single" w:sz="8" w:space="0" w:color="B7C9D6"/>
              <w:insideH w:val="single" w:sz="8" w:space="0" w:color="B7C9D6"/>
              <w:insideV w:val="single" w:sz="8" w:space="0" w:color="B7C9D6"/>
            </w:tcBorders>
            <w:tcMar>
              <w:top w:w="100" w:type="dxa"/>
              <w:start w:w="120" w:type="dxa"/>
              <w:bottom w:w="100" w:type="dxa"/>
              <w:end w:w="120" w:type="dxa"/>
            </w:tcMar>
            <w:vAlign w:val="center"/>
          </w:tcPr>
          <w:p>
            <w:pPr>
              <w:spacing w:after="0" w:line="259" w:lineRule="auto"/>
              <w:jc w:val="center"/>
            </w:pPr>
            <w:r/>
            <w:r>
              <w:rPr>
                <w:rFonts w:ascii="Aptos" w:hAnsi="Aptos"/>
                <w:b w:val="0"/>
                <w:sz w:val="16"/>
              </w:rPr>
              <w:t>php -v and php -m</w:t>
            </w:r>
          </w:p>
        </w:tc>
        <w:tc>
          <w:tcPr>
            <w:tcW w:type="dxa" w:w="3528"/>
            <w:tcBorders>
              <w:top w:val="single" w:sz="8" w:space="0" w:color="B7C9D6"/>
              <w:left w:val="single" w:sz="8" w:space="0" w:color="B7C9D6"/>
              <w:bottom w:val="single" w:sz="8" w:space="0" w:color="B7C9D6"/>
              <w:right w:val="single" w:sz="8" w:space="0" w:color="B7C9D6"/>
              <w:insideH w:val="single" w:sz="8" w:space="0" w:color="B7C9D6"/>
              <w:insideV w:val="single" w:sz="8" w:space="0" w:color="B7C9D6"/>
            </w:tcBorders>
            <w:tcMar>
              <w:top w:w="100" w:type="dxa"/>
              <w:start w:w="120" w:type="dxa"/>
              <w:bottom w:w="100" w:type="dxa"/>
              <w:end w:w="120" w:type="dxa"/>
            </w:tcMar>
            <w:vAlign w:val="center"/>
          </w:tcPr>
          <w:p>
            <w:pPr>
              <w:spacing w:after="0" w:line="259" w:lineRule="auto"/>
            </w:pPr>
            <w:r/>
            <w:r>
              <w:rPr>
                <w:rFonts w:ascii="Aptos" w:hAnsi="Aptos"/>
                <w:b w:val="0"/>
                <w:sz w:val="16"/>
              </w:rPr>
              <w:t>Xdebug 3.5.1 installed and xdebug module loaded</w:t>
            </w:r>
          </w:p>
        </w:tc>
      </w:tr>
      <w:tr>
        <w:tc>
          <w:tcPr>
            <w:tcW w:type="dxa" w:w="648"/>
            <w:tcBorders>
              <w:top w:val="single" w:sz="8" w:space="0" w:color="B7C9D6"/>
              <w:left w:val="single" w:sz="8" w:space="0" w:color="B7C9D6"/>
              <w:bottom w:val="single" w:sz="8" w:space="0" w:color="B7C9D6"/>
              <w:right w:val="single" w:sz="8" w:space="0" w:color="B7C9D6"/>
              <w:insideH w:val="single" w:sz="8" w:space="0" w:color="B7C9D6"/>
              <w:insideV w:val="single" w:sz="8" w:space="0" w:color="B7C9D6"/>
            </w:tcBorders>
            <w:tcMar>
              <w:top w:w="100" w:type="dxa"/>
              <w:start w:w="120" w:type="dxa"/>
              <w:bottom w:w="100" w:type="dxa"/>
              <w:end w:w="120" w:type="dxa"/>
            </w:tcMar>
            <w:vAlign w:val="center"/>
          </w:tcPr>
          <w:p>
            <w:pPr>
              <w:spacing w:after="0" w:line="259" w:lineRule="auto"/>
            </w:pPr>
            <w:r/>
            <w:r>
              <w:rPr>
                <w:rFonts w:ascii="Aptos" w:hAnsi="Aptos"/>
                <w:b w:val="0"/>
                <w:sz w:val="16"/>
              </w:rPr>
              <w:t>4</w:t>
            </w:r>
          </w:p>
        </w:tc>
        <w:tc>
          <w:tcPr>
            <w:tcW w:type="dxa" w:w="3240"/>
            <w:tcBorders>
              <w:top w:val="single" w:sz="8" w:space="0" w:color="B7C9D6"/>
              <w:left w:val="single" w:sz="8" w:space="0" w:color="B7C9D6"/>
              <w:bottom w:val="single" w:sz="8" w:space="0" w:color="B7C9D6"/>
              <w:right w:val="single" w:sz="8" w:space="0" w:color="B7C9D6"/>
              <w:insideH w:val="single" w:sz="8" w:space="0" w:color="B7C9D6"/>
              <w:insideV w:val="single" w:sz="8" w:space="0" w:color="B7C9D6"/>
            </w:tcBorders>
            <w:tcMar>
              <w:top w:w="100" w:type="dxa"/>
              <w:start w:w="120" w:type="dxa"/>
              <w:bottom w:w="100" w:type="dxa"/>
              <w:end w:w="120" w:type="dxa"/>
            </w:tcMar>
            <w:vAlign w:val="center"/>
          </w:tcPr>
          <w:p>
            <w:pPr>
              <w:spacing w:after="0" w:line="259" w:lineRule="auto"/>
            </w:pPr>
            <w:r/>
            <w:r>
              <w:rPr>
                <w:rFonts w:ascii="Aptos" w:hAnsi="Aptos"/>
                <w:b w:val="0"/>
                <w:sz w:val="16"/>
              </w:rPr>
              <w:t>Run authoritative coverage command</w:t>
            </w:r>
          </w:p>
        </w:tc>
        <w:tc>
          <w:tcPr>
            <w:tcW w:type="dxa" w:w="3384"/>
            <w:tcBorders>
              <w:top w:val="single" w:sz="8" w:space="0" w:color="B7C9D6"/>
              <w:left w:val="single" w:sz="8" w:space="0" w:color="B7C9D6"/>
              <w:bottom w:val="single" w:sz="8" w:space="0" w:color="B7C9D6"/>
              <w:right w:val="single" w:sz="8" w:space="0" w:color="B7C9D6"/>
              <w:insideH w:val="single" w:sz="8" w:space="0" w:color="B7C9D6"/>
              <w:insideV w:val="single" w:sz="8" w:space="0" w:color="B7C9D6"/>
            </w:tcBorders>
            <w:tcMar>
              <w:top w:w="100" w:type="dxa"/>
              <w:start w:w="120" w:type="dxa"/>
              <w:bottom w:w="100" w:type="dxa"/>
              <w:end w:w="120" w:type="dxa"/>
            </w:tcMar>
            <w:vAlign w:val="center"/>
          </w:tcPr>
          <w:p>
            <w:pPr>
              <w:spacing w:after="0" w:line="259" w:lineRule="auto"/>
            </w:pPr>
            <w:r/>
            <w:r>
              <w:rPr>
                <w:rFonts w:ascii="Aptos" w:hAnsi="Aptos"/>
                <w:b w:val="0"/>
                <w:sz w:val="16"/>
              </w:rPr>
              <w:t>$env:XDEBUG_MODE='coverage'; php artisan test --coverage</w:t>
            </w:r>
          </w:p>
        </w:tc>
        <w:tc>
          <w:tcPr>
            <w:tcW w:type="dxa" w:w="3528"/>
            <w:tcBorders>
              <w:top w:val="single" w:sz="8" w:space="0" w:color="B7C9D6"/>
              <w:left w:val="single" w:sz="8" w:space="0" w:color="B7C9D6"/>
              <w:bottom w:val="single" w:sz="8" w:space="0" w:color="B7C9D6"/>
              <w:right w:val="single" w:sz="8" w:space="0" w:color="B7C9D6"/>
              <w:insideH w:val="single" w:sz="8" w:space="0" w:color="B7C9D6"/>
              <w:insideV w:val="single" w:sz="8" w:space="0" w:color="B7C9D6"/>
            </w:tcBorders>
            <w:tcMar>
              <w:top w:w="100" w:type="dxa"/>
              <w:start w:w="120" w:type="dxa"/>
              <w:bottom w:w="100" w:type="dxa"/>
              <w:end w:w="120" w:type="dxa"/>
            </w:tcMar>
            <w:vAlign w:val="center"/>
          </w:tcPr>
          <w:p>
            <w:pPr>
              <w:spacing w:after="0" w:line="259" w:lineRule="auto"/>
            </w:pPr>
            <w:r/>
            <w:r>
              <w:rPr>
                <w:rFonts w:ascii="Aptos" w:hAnsi="Aptos"/>
                <w:b w:val="0"/>
                <w:sz w:val="16"/>
              </w:rPr>
              <w:t>All tests passed; Total: 93.3%</w:t>
            </w:r>
          </w:p>
        </w:tc>
      </w:tr>
      <w:tr>
        <w:tc>
          <w:tcPr>
            <w:tcW w:type="dxa" w:w="648"/>
            <w:tcBorders>
              <w:top w:val="single" w:sz="8" w:space="0" w:color="B7C9D6"/>
              <w:left w:val="single" w:sz="8" w:space="0" w:color="B7C9D6"/>
              <w:bottom w:val="single" w:sz="8" w:space="0" w:color="B7C9D6"/>
              <w:right w:val="single" w:sz="8" w:space="0" w:color="B7C9D6"/>
              <w:insideH w:val="single" w:sz="8" w:space="0" w:color="B7C9D6"/>
              <w:insideV w:val="single" w:sz="8" w:space="0" w:color="B7C9D6"/>
            </w:tcBorders>
            <w:tcMar>
              <w:top w:w="100" w:type="dxa"/>
              <w:start w:w="120" w:type="dxa"/>
              <w:bottom w:w="100" w:type="dxa"/>
              <w:end w:w="120" w:type="dxa"/>
            </w:tcMar>
            <w:vAlign w:val="center"/>
          </w:tcPr>
          <w:p>
            <w:pPr>
              <w:spacing w:after="0" w:line="259" w:lineRule="auto"/>
            </w:pPr>
            <w:r/>
            <w:r>
              <w:rPr>
                <w:rFonts w:ascii="Aptos" w:hAnsi="Aptos"/>
                <w:b w:val="0"/>
                <w:sz w:val="16"/>
              </w:rPr>
              <w:t>5</w:t>
            </w:r>
          </w:p>
        </w:tc>
        <w:tc>
          <w:tcPr>
            <w:tcW w:type="dxa" w:w="3240"/>
            <w:tcBorders>
              <w:top w:val="single" w:sz="8" w:space="0" w:color="B7C9D6"/>
              <w:left w:val="single" w:sz="8" w:space="0" w:color="B7C9D6"/>
              <w:bottom w:val="single" w:sz="8" w:space="0" w:color="B7C9D6"/>
              <w:right w:val="single" w:sz="8" w:space="0" w:color="B7C9D6"/>
              <w:insideH w:val="single" w:sz="8" w:space="0" w:color="B7C9D6"/>
              <w:insideV w:val="single" w:sz="8" w:space="0" w:color="B7C9D6"/>
            </w:tcBorders>
            <w:tcMar>
              <w:top w:w="100" w:type="dxa"/>
              <w:start w:w="120" w:type="dxa"/>
              <w:bottom w:w="100" w:type="dxa"/>
              <w:end w:w="120" w:type="dxa"/>
            </w:tcMar>
            <w:vAlign w:val="center"/>
          </w:tcPr>
          <w:p>
            <w:pPr>
              <w:spacing w:after="0" w:line="259" w:lineRule="auto"/>
            </w:pPr>
            <w:r/>
            <w:r>
              <w:rPr>
                <w:rFonts w:ascii="Aptos" w:hAnsi="Aptos"/>
                <w:b w:val="0"/>
                <w:sz w:val="16"/>
              </w:rPr>
              <w:t>Validate test counts by suite</w:t>
            </w:r>
          </w:p>
        </w:tc>
        <w:tc>
          <w:tcPr>
            <w:tcW w:type="dxa" w:w="3384"/>
            <w:tcBorders>
              <w:top w:val="single" w:sz="8" w:space="0" w:color="B7C9D6"/>
              <w:left w:val="single" w:sz="8" w:space="0" w:color="B7C9D6"/>
              <w:bottom w:val="single" w:sz="8" w:space="0" w:color="B7C9D6"/>
              <w:right w:val="single" w:sz="8" w:space="0" w:color="B7C9D6"/>
              <w:insideH w:val="single" w:sz="8" w:space="0" w:color="B7C9D6"/>
              <w:insideV w:val="single" w:sz="8" w:space="0" w:color="B7C9D6"/>
            </w:tcBorders>
            <w:tcMar>
              <w:top w:w="100" w:type="dxa"/>
              <w:start w:w="120" w:type="dxa"/>
              <w:bottom w:w="100" w:type="dxa"/>
              <w:end w:w="120" w:type="dxa"/>
            </w:tcMar>
            <w:vAlign w:val="center"/>
          </w:tcPr>
          <w:p>
            <w:pPr>
              <w:spacing w:after="0" w:line="259" w:lineRule="auto"/>
            </w:pPr>
            <w:r/>
            <w:r>
              <w:rPr>
                <w:rFonts w:ascii="Aptos" w:hAnsi="Aptos"/>
                <w:b w:val="0"/>
                <w:sz w:val="16"/>
              </w:rPr>
              <w:t>php artisan test --testsuite=Unit/Feature --compact</w:t>
            </w:r>
          </w:p>
        </w:tc>
        <w:tc>
          <w:tcPr>
            <w:tcW w:type="dxa" w:w="3528"/>
            <w:tcBorders>
              <w:top w:val="single" w:sz="8" w:space="0" w:color="B7C9D6"/>
              <w:left w:val="single" w:sz="8" w:space="0" w:color="B7C9D6"/>
              <w:bottom w:val="single" w:sz="8" w:space="0" w:color="B7C9D6"/>
              <w:right w:val="single" w:sz="8" w:space="0" w:color="B7C9D6"/>
              <w:insideH w:val="single" w:sz="8" w:space="0" w:color="B7C9D6"/>
              <w:insideV w:val="single" w:sz="8" w:space="0" w:color="B7C9D6"/>
            </w:tcBorders>
            <w:tcMar>
              <w:top w:w="100" w:type="dxa"/>
              <w:start w:w="120" w:type="dxa"/>
              <w:bottom w:w="100" w:type="dxa"/>
              <w:end w:w="120" w:type="dxa"/>
            </w:tcMar>
            <w:vAlign w:val="center"/>
          </w:tcPr>
          <w:p>
            <w:pPr>
              <w:spacing w:after="0" w:line="259" w:lineRule="auto"/>
            </w:pPr>
            <w:r/>
            <w:r>
              <w:rPr>
                <w:rFonts w:ascii="Aptos" w:hAnsi="Aptos"/>
                <w:b w:val="0"/>
                <w:sz w:val="16"/>
              </w:rPr>
              <w:t>243 Unit tests and 541 Feature tests passed</w:t>
            </w:r>
          </w:p>
        </w:tc>
      </w:tr>
      <w:tr>
        <w:tc>
          <w:tcPr>
            <w:tcW w:type="dxa" w:w="648"/>
            <w:tcBorders>
              <w:top w:val="single" w:sz="8" w:space="0" w:color="B7C9D6"/>
              <w:left w:val="single" w:sz="8" w:space="0" w:color="B7C9D6"/>
              <w:bottom w:val="single" w:sz="8" w:space="0" w:color="B7C9D6"/>
              <w:right w:val="single" w:sz="8" w:space="0" w:color="B7C9D6"/>
              <w:insideH w:val="single" w:sz="8" w:space="0" w:color="B7C9D6"/>
              <w:insideV w:val="single" w:sz="8" w:space="0" w:color="B7C9D6"/>
            </w:tcBorders>
            <w:tcMar>
              <w:top w:w="100" w:type="dxa"/>
              <w:start w:w="120" w:type="dxa"/>
              <w:bottom w:w="100" w:type="dxa"/>
              <w:end w:w="120" w:type="dxa"/>
            </w:tcMar>
            <w:vAlign w:val="center"/>
          </w:tcPr>
          <w:p>
            <w:pPr>
              <w:spacing w:after="0" w:line="259" w:lineRule="auto"/>
            </w:pPr>
            <w:r/>
            <w:r>
              <w:rPr>
                <w:rFonts w:ascii="Aptos" w:hAnsi="Aptos"/>
                <w:b w:val="0"/>
                <w:sz w:val="16"/>
              </w:rPr>
              <w:t>6</w:t>
            </w:r>
          </w:p>
        </w:tc>
        <w:tc>
          <w:tcPr>
            <w:tcW w:type="dxa" w:w="3240"/>
            <w:tcBorders>
              <w:top w:val="single" w:sz="8" w:space="0" w:color="B7C9D6"/>
              <w:left w:val="single" w:sz="8" w:space="0" w:color="B7C9D6"/>
              <w:bottom w:val="single" w:sz="8" w:space="0" w:color="B7C9D6"/>
              <w:right w:val="single" w:sz="8" w:space="0" w:color="B7C9D6"/>
              <w:insideH w:val="single" w:sz="8" w:space="0" w:color="B7C9D6"/>
              <w:insideV w:val="single" w:sz="8" w:space="0" w:color="B7C9D6"/>
            </w:tcBorders>
            <w:tcMar>
              <w:top w:w="100" w:type="dxa"/>
              <w:start w:w="120" w:type="dxa"/>
              <w:bottom w:w="100" w:type="dxa"/>
              <w:end w:w="120" w:type="dxa"/>
            </w:tcMar>
            <w:vAlign w:val="center"/>
          </w:tcPr>
          <w:p>
            <w:pPr>
              <w:spacing w:after="0" w:line="259" w:lineRule="auto"/>
            </w:pPr>
            <w:r/>
            <w:r>
              <w:rPr>
                <w:rFonts w:ascii="Aptos" w:hAnsi="Aptos"/>
                <w:b w:val="0"/>
                <w:sz w:val="16"/>
              </w:rPr>
              <w:t>Check for other test layers</w:t>
            </w:r>
          </w:p>
        </w:tc>
        <w:tc>
          <w:tcPr>
            <w:tcW w:type="dxa" w:w="3384"/>
            <w:tcBorders>
              <w:top w:val="single" w:sz="8" w:space="0" w:color="B7C9D6"/>
              <w:left w:val="single" w:sz="8" w:space="0" w:color="B7C9D6"/>
              <w:bottom w:val="single" w:sz="8" w:space="0" w:color="B7C9D6"/>
              <w:right w:val="single" w:sz="8" w:space="0" w:color="B7C9D6"/>
              <w:insideH w:val="single" w:sz="8" w:space="0" w:color="B7C9D6"/>
              <w:insideV w:val="single" w:sz="8" w:space="0" w:color="B7C9D6"/>
            </w:tcBorders>
            <w:tcMar>
              <w:top w:w="100" w:type="dxa"/>
              <w:start w:w="120" w:type="dxa"/>
              <w:bottom w:w="100" w:type="dxa"/>
              <w:end w:w="120" w:type="dxa"/>
            </w:tcMar>
            <w:vAlign w:val="center"/>
          </w:tcPr>
          <w:p>
            <w:pPr>
              <w:spacing w:after="0" w:line="259" w:lineRule="auto"/>
            </w:pPr>
            <w:r/>
            <w:r>
              <w:rPr>
                <w:rFonts w:ascii="Aptos" w:hAnsi="Aptos"/>
                <w:b w:val="0"/>
                <w:sz w:val="16"/>
              </w:rPr>
              <w:t>package.json and tests/e2e</w:t>
            </w:r>
          </w:p>
        </w:tc>
        <w:tc>
          <w:tcPr>
            <w:tcW w:type="dxa" w:w="3528"/>
            <w:tcBorders>
              <w:top w:val="single" w:sz="8" w:space="0" w:color="B7C9D6"/>
              <w:left w:val="single" w:sz="8" w:space="0" w:color="B7C9D6"/>
              <w:bottom w:val="single" w:sz="8" w:space="0" w:color="B7C9D6"/>
              <w:right w:val="single" w:sz="8" w:space="0" w:color="B7C9D6"/>
              <w:insideH w:val="single" w:sz="8" w:space="0" w:color="B7C9D6"/>
              <w:insideV w:val="single" w:sz="8" w:space="0" w:color="B7C9D6"/>
            </w:tcBorders>
            <w:tcMar>
              <w:top w:w="100" w:type="dxa"/>
              <w:start w:w="120" w:type="dxa"/>
              <w:bottom w:w="100" w:type="dxa"/>
              <w:end w:w="120" w:type="dxa"/>
            </w:tcMar>
            <w:vAlign w:val="center"/>
          </w:tcPr>
          <w:p>
            <w:pPr>
              <w:spacing w:after="0" w:line="259" w:lineRule="auto"/>
            </w:pPr>
            <w:r/>
            <w:r>
              <w:rPr>
                <w:rFonts w:ascii="Aptos" w:hAnsi="Aptos"/>
                <w:b w:val="0"/>
                <w:sz w:val="16"/>
              </w:rPr>
              <w:t>5 Playwright E2E files exist but are not part of PHPUnit coverage</w:t>
            </w:r>
          </w:p>
        </w:tc>
      </w:tr>
    </w:tbl>
    <w:p/>
    <w:p>
      <w:pPr>
        <w:pStyle w:val="Heading1"/>
        <w:spacing w:before="240" w:after="80"/>
      </w:pPr>
      <w:r>
        <w:rPr>
          <w:rFonts w:ascii="Aptos Display" w:hAnsi="Aptos Display"/>
          <w:color w:val="1F4E79"/>
        </w:rPr>
        <w:t>3. Commands and Results</w:t>
      </w:r>
    </w:p>
    <w:tbl>
      <w:tblPr>
        <w:tblStyle w:val="TableGrid"/>
        <w:tblW w:type="auto" w:w="0"/>
        <w:tblLayout w:type="fixed"/>
        <w:tblLook w:firstColumn="1" w:firstRow="1" w:lastColumn="0" w:lastRow="0" w:noHBand="0" w:noVBand="1" w:val="04A0"/>
      </w:tblPr>
      <w:tblGrid>
        <w:gridCol w:w="3408"/>
        <w:gridCol w:w="3408"/>
        <w:gridCol w:w="3408"/>
      </w:tblGrid>
      <w:tr>
        <w:tc>
          <w:tcPr>
            <w:tcW w:type="dxa" w:w="3384"/>
            <w:shd w:fill="1F4E79"/>
            <w:tcBorders>
              <w:top w:val="single" w:sz="8" w:space="0" w:color="B7C9D6"/>
              <w:left w:val="single" w:sz="8" w:space="0" w:color="B7C9D6"/>
              <w:bottom w:val="single" w:sz="8" w:space="0" w:color="B7C9D6"/>
              <w:right w:val="single" w:sz="8" w:space="0" w:color="B7C9D6"/>
              <w:insideH w:val="single" w:sz="8" w:space="0" w:color="B7C9D6"/>
              <w:insideV w:val="single" w:sz="8" w:space="0" w:color="B7C9D6"/>
            </w:tcBorders>
            <w:tcMar>
              <w:top w:w="100" w:type="dxa"/>
              <w:start w:w="120" w:type="dxa"/>
              <w:bottom w:w="100" w:type="dxa"/>
              <w:end w:w="120" w:type="dxa"/>
            </w:tcMar>
            <w:vAlign w:val="center"/>
          </w:tcPr>
          <w:p>
            <w:pPr>
              <w:spacing w:after="0" w:line="259" w:lineRule="auto"/>
            </w:pPr>
            <w:r/>
            <w:r>
              <w:rPr>
                <w:rFonts w:ascii="Aptos" w:hAnsi="Aptos"/>
                <w:b/>
                <w:color w:val="FFFFFF"/>
                <w:sz w:val="16"/>
              </w:rPr>
              <w:t>Command</w:t>
            </w:r>
          </w:p>
        </w:tc>
        <w:tc>
          <w:tcPr>
            <w:tcW w:type="dxa" w:w="4608"/>
            <w:shd w:fill="1F4E79"/>
            <w:tcBorders>
              <w:top w:val="single" w:sz="8" w:space="0" w:color="B7C9D6"/>
              <w:left w:val="single" w:sz="8" w:space="0" w:color="B7C9D6"/>
              <w:bottom w:val="single" w:sz="8" w:space="0" w:color="B7C9D6"/>
              <w:right w:val="single" w:sz="8" w:space="0" w:color="B7C9D6"/>
              <w:insideH w:val="single" w:sz="8" w:space="0" w:color="B7C9D6"/>
              <w:insideV w:val="single" w:sz="8" w:space="0" w:color="B7C9D6"/>
            </w:tcBorders>
            <w:tcMar>
              <w:top w:w="100" w:type="dxa"/>
              <w:start w:w="120" w:type="dxa"/>
              <w:bottom w:w="100" w:type="dxa"/>
              <w:end w:w="120" w:type="dxa"/>
            </w:tcMar>
            <w:vAlign w:val="center"/>
          </w:tcPr>
          <w:p>
            <w:pPr>
              <w:spacing w:after="0" w:line="259" w:lineRule="auto"/>
            </w:pPr>
            <w:r/>
            <w:r>
              <w:rPr>
                <w:rFonts w:ascii="Aptos" w:hAnsi="Aptos"/>
                <w:b/>
                <w:color w:val="FFFFFF"/>
                <w:sz w:val="16"/>
              </w:rPr>
              <w:t>Observed result</w:t>
            </w:r>
          </w:p>
        </w:tc>
        <w:tc>
          <w:tcPr>
            <w:tcW w:type="dxa" w:w="2880"/>
            <w:shd w:fill="1F4E79"/>
            <w:tcBorders>
              <w:top w:val="single" w:sz="8" w:space="0" w:color="B7C9D6"/>
              <w:left w:val="single" w:sz="8" w:space="0" w:color="B7C9D6"/>
              <w:bottom w:val="single" w:sz="8" w:space="0" w:color="B7C9D6"/>
              <w:right w:val="single" w:sz="8" w:space="0" w:color="B7C9D6"/>
              <w:insideH w:val="single" w:sz="8" w:space="0" w:color="B7C9D6"/>
              <w:insideV w:val="single" w:sz="8" w:space="0" w:color="B7C9D6"/>
            </w:tcBorders>
            <w:tcMar>
              <w:top w:w="100" w:type="dxa"/>
              <w:start w:w="120" w:type="dxa"/>
              <w:bottom w:w="100" w:type="dxa"/>
              <w:end w:w="120" w:type="dxa"/>
            </w:tcMar>
            <w:vAlign w:val="center"/>
          </w:tcPr>
          <w:p>
            <w:pPr>
              <w:spacing w:after="0" w:line="259" w:lineRule="auto"/>
            </w:pPr>
            <w:r/>
            <w:r>
              <w:rPr>
                <w:rFonts w:ascii="Aptos" w:hAnsi="Aptos"/>
                <w:b/>
                <w:color w:val="FFFFFF"/>
                <w:sz w:val="16"/>
              </w:rPr>
              <w:t>Interpretation</w:t>
            </w:r>
          </w:p>
        </w:tc>
      </w:tr>
      <w:tr>
        <w:tc>
          <w:tcPr>
            <w:tcW w:type="dxa" w:w="3384"/>
            <w:tcBorders>
              <w:top w:val="single" w:sz="8" w:space="0" w:color="B7C9D6"/>
              <w:left w:val="single" w:sz="8" w:space="0" w:color="B7C9D6"/>
              <w:bottom w:val="single" w:sz="8" w:space="0" w:color="B7C9D6"/>
              <w:right w:val="single" w:sz="8" w:space="0" w:color="B7C9D6"/>
              <w:insideH w:val="single" w:sz="8" w:space="0" w:color="B7C9D6"/>
              <w:insideV w:val="single" w:sz="8" w:space="0" w:color="B7C9D6"/>
            </w:tcBorders>
            <w:tcMar>
              <w:top w:w="100" w:type="dxa"/>
              <w:start w:w="120" w:type="dxa"/>
              <w:bottom w:w="100" w:type="dxa"/>
              <w:end w:w="120" w:type="dxa"/>
            </w:tcMar>
            <w:vAlign w:val="center"/>
          </w:tcPr>
          <w:p>
            <w:pPr>
              <w:spacing w:after="0" w:line="259" w:lineRule="auto"/>
            </w:pPr>
            <w:r/>
            <w:r>
              <w:rPr>
                <w:rFonts w:ascii="Aptos" w:hAnsi="Aptos"/>
                <w:b w:val="0"/>
                <w:sz w:val="16"/>
              </w:rPr>
              <w:t>Get-ChildItem -Force</w:t>
            </w:r>
          </w:p>
        </w:tc>
        <w:tc>
          <w:tcPr>
            <w:tcW w:type="dxa" w:w="4608"/>
            <w:tcBorders>
              <w:top w:val="single" w:sz="8" w:space="0" w:color="B7C9D6"/>
              <w:left w:val="single" w:sz="8" w:space="0" w:color="B7C9D6"/>
              <w:bottom w:val="single" w:sz="8" w:space="0" w:color="B7C9D6"/>
              <w:right w:val="single" w:sz="8" w:space="0" w:color="B7C9D6"/>
              <w:insideH w:val="single" w:sz="8" w:space="0" w:color="B7C9D6"/>
              <w:insideV w:val="single" w:sz="8" w:space="0" w:color="B7C9D6"/>
            </w:tcBorders>
            <w:tcMar>
              <w:top w:w="100" w:type="dxa"/>
              <w:start w:w="120" w:type="dxa"/>
              <w:bottom w:w="100" w:type="dxa"/>
              <w:end w:w="120" w:type="dxa"/>
            </w:tcMar>
            <w:vAlign w:val="center"/>
          </w:tcPr>
          <w:p>
            <w:pPr>
              <w:spacing w:after="0" w:line="259" w:lineRule="auto"/>
            </w:pPr>
            <w:r/>
            <w:r>
              <w:rPr>
                <w:rFonts w:ascii="Aptos" w:hAnsi="Aptos"/>
                <w:b w:val="0"/>
                <w:sz w:val="16"/>
              </w:rPr>
              <w:t>Repository root contains app, config, database, routes, tests, vendor, composer.json, package.json, phpunit.xml, and artisan.</w:t>
            </w:r>
          </w:p>
        </w:tc>
        <w:tc>
          <w:tcPr>
            <w:tcW w:type="dxa" w:w="2880"/>
            <w:tcBorders>
              <w:top w:val="single" w:sz="8" w:space="0" w:color="B7C9D6"/>
              <w:left w:val="single" w:sz="8" w:space="0" w:color="B7C9D6"/>
              <w:bottom w:val="single" w:sz="8" w:space="0" w:color="B7C9D6"/>
              <w:right w:val="single" w:sz="8" w:space="0" w:color="B7C9D6"/>
              <w:insideH w:val="single" w:sz="8" w:space="0" w:color="B7C9D6"/>
              <w:insideV w:val="single" w:sz="8" w:space="0" w:color="B7C9D6"/>
            </w:tcBorders>
            <w:tcMar>
              <w:top w:w="100" w:type="dxa"/>
              <w:start w:w="120" w:type="dxa"/>
              <w:bottom w:w="100" w:type="dxa"/>
              <w:end w:w="120" w:type="dxa"/>
            </w:tcMar>
            <w:vAlign w:val="center"/>
          </w:tcPr>
          <w:p>
            <w:pPr>
              <w:spacing w:after="0" w:line="259" w:lineRule="auto"/>
            </w:pPr>
            <w:r/>
            <w:r>
              <w:rPr>
                <w:rFonts w:ascii="Aptos" w:hAnsi="Aptos"/>
                <w:b w:val="0"/>
                <w:sz w:val="16"/>
              </w:rPr>
              <w:t>Confirmed a Laravel-style project root and local dependencies.</w:t>
            </w:r>
          </w:p>
        </w:tc>
      </w:tr>
      <w:tr>
        <w:tc>
          <w:tcPr>
            <w:tcW w:type="dxa" w:w="3384"/>
            <w:tcBorders>
              <w:top w:val="single" w:sz="8" w:space="0" w:color="B7C9D6"/>
              <w:left w:val="single" w:sz="8" w:space="0" w:color="B7C9D6"/>
              <w:bottom w:val="single" w:sz="8" w:space="0" w:color="B7C9D6"/>
              <w:right w:val="single" w:sz="8" w:space="0" w:color="B7C9D6"/>
              <w:insideH w:val="single" w:sz="8" w:space="0" w:color="B7C9D6"/>
              <w:insideV w:val="single" w:sz="8" w:space="0" w:color="B7C9D6"/>
            </w:tcBorders>
            <w:tcMar>
              <w:top w:w="100" w:type="dxa"/>
              <w:start w:w="120" w:type="dxa"/>
              <w:bottom w:w="100" w:type="dxa"/>
              <w:end w:w="120" w:type="dxa"/>
            </w:tcMar>
            <w:vAlign w:val="center"/>
          </w:tcPr>
          <w:p>
            <w:pPr>
              <w:spacing w:after="0" w:line="259" w:lineRule="auto"/>
            </w:pPr>
            <w:r/>
            <w:r>
              <w:rPr>
                <w:rFonts w:ascii="Aptos" w:hAnsi="Aptos"/>
                <w:b w:val="0"/>
                <w:sz w:val="16"/>
              </w:rPr>
              <w:t>rg --files -g ...</w:t>
            </w:r>
          </w:p>
        </w:tc>
        <w:tc>
          <w:tcPr>
            <w:tcW w:type="dxa" w:w="4608"/>
            <w:tcBorders>
              <w:top w:val="single" w:sz="8" w:space="0" w:color="B7C9D6"/>
              <w:left w:val="single" w:sz="8" w:space="0" w:color="B7C9D6"/>
              <w:bottom w:val="single" w:sz="8" w:space="0" w:color="B7C9D6"/>
              <w:right w:val="single" w:sz="8" w:space="0" w:color="B7C9D6"/>
              <w:insideH w:val="single" w:sz="8" w:space="0" w:color="B7C9D6"/>
              <w:insideV w:val="single" w:sz="8" w:space="0" w:color="B7C9D6"/>
            </w:tcBorders>
            <w:tcMar>
              <w:top w:w="100" w:type="dxa"/>
              <w:start w:w="120" w:type="dxa"/>
              <w:bottom w:w="100" w:type="dxa"/>
              <w:end w:w="120" w:type="dxa"/>
            </w:tcMar>
            <w:vAlign w:val="center"/>
          </w:tcPr>
          <w:p>
            <w:pPr>
              <w:spacing w:after="0" w:line="259" w:lineRule="auto"/>
            </w:pPr>
            <w:r/>
            <w:r>
              <w:rPr>
                <w:rFonts w:ascii="Aptos" w:hAnsi="Aptos"/>
                <w:b w:val="0"/>
                <w:sz w:val="16"/>
              </w:rPr>
              <w:t>PowerShell returned: Program 'rg.exe' failed to run: Access is denied.</w:t>
            </w:r>
          </w:p>
        </w:tc>
        <w:tc>
          <w:tcPr>
            <w:tcW w:type="dxa" w:w="2880"/>
            <w:tcBorders>
              <w:top w:val="single" w:sz="8" w:space="0" w:color="B7C9D6"/>
              <w:left w:val="single" w:sz="8" w:space="0" w:color="B7C9D6"/>
              <w:bottom w:val="single" w:sz="8" w:space="0" w:color="B7C9D6"/>
              <w:right w:val="single" w:sz="8" w:space="0" w:color="B7C9D6"/>
              <w:insideH w:val="single" w:sz="8" w:space="0" w:color="B7C9D6"/>
              <w:insideV w:val="single" w:sz="8" w:space="0" w:color="B7C9D6"/>
            </w:tcBorders>
            <w:tcMar>
              <w:top w:w="100" w:type="dxa"/>
              <w:start w:w="120" w:type="dxa"/>
              <w:bottom w:w="100" w:type="dxa"/>
              <w:end w:w="120" w:type="dxa"/>
            </w:tcMar>
            <w:vAlign w:val="center"/>
          </w:tcPr>
          <w:p>
            <w:pPr>
              <w:spacing w:after="0" w:line="259" w:lineRule="auto"/>
            </w:pPr>
            <w:r/>
            <w:r>
              <w:rPr>
                <w:rFonts w:ascii="Aptos" w:hAnsi="Aptos"/>
                <w:b w:val="0"/>
                <w:sz w:val="16"/>
              </w:rPr>
              <w:t>Fallback used PowerShell file listing and Select-String; this did not affect the final coverage measurement.</w:t>
            </w:r>
          </w:p>
        </w:tc>
      </w:tr>
      <w:tr>
        <w:tc>
          <w:tcPr>
            <w:tcW w:type="dxa" w:w="3384"/>
            <w:tcBorders>
              <w:top w:val="single" w:sz="8" w:space="0" w:color="B7C9D6"/>
              <w:left w:val="single" w:sz="8" w:space="0" w:color="B7C9D6"/>
              <w:bottom w:val="single" w:sz="8" w:space="0" w:color="B7C9D6"/>
              <w:right w:val="single" w:sz="8" w:space="0" w:color="B7C9D6"/>
              <w:insideH w:val="single" w:sz="8" w:space="0" w:color="B7C9D6"/>
              <w:insideV w:val="single" w:sz="8" w:space="0" w:color="B7C9D6"/>
            </w:tcBorders>
            <w:tcMar>
              <w:top w:w="100" w:type="dxa"/>
              <w:start w:w="120" w:type="dxa"/>
              <w:bottom w:w="100" w:type="dxa"/>
              <w:end w:w="120" w:type="dxa"/>
            </w:tcMar>
            <w:vAlign w:val="center"/>
          </w:tcPr>
          <w:p>
            <w:pPr>
              <w:spacing w:after="0" w:line="259" w:lineRule="auto"/>
            </w:pPr>
            <w:r/>
            <w:r>
              <w:rPr>
                <w:rFonts w:ascii="Aptos" w:hAnsi="Aptos"/>
                <w:b w:val="0"/>
                <w:sz w:val="16"/>
              </w:rPr>
              <w:t>Get-Content composer.json</w:t>
            </w:r>
          </w:p>
        </w:tc>
        <w:tc>
          <w:tcPr>
            <w:tcW w:type="dxa" w:w="4608"/>
            <w:tcBorders>
              <w:top w:val="single" w:sz="8" w:space="0" w:color="B7C9D6"/>
              <w:left w:val="single" w:sz="8" w:space="0" w:color="B7C9D6"/>
              <w:bottom w:val="single" w:sz="8" w:space="0" w:color="B7C9D6"/>
              <w:right w:val="single" w:sz="8" w:space="0" w:color="B7C9D6"/>
              <w:insideH w:val="single" w:sz="8" w:space="0" w:color="B7C9D6"/>
              <w:insideV w:val="single" w:sz="8" w:space="0" w:color="B7C9D6"/>
            </w:tcBorders>
            <w:tcMar>
              <w:top w:w="100" w:type="dxa"/>
              <w:start w:w="120" w:type="dxa"/>
              <w:bottom w:w="100" w:type="dxa"/>
              <w:end w:w="120" w:type="dxa"/>
            </w:tcMar>
            <w:vAlign w:val="center"/>
          </w:tcPr>
          <w:p>
            <w:pPr>
              <w:spacing w:after="0" w:line="259" w:lineRule="auto"/>
            </w:pPr>
            <w:r/>
            <w:r>
              <w:rPr>
                <w:rFonts w:ascii="Aptos" w:hAnsi="Aptos"/>
                <w:b w:val="0"/>
                <w:sz w:val="16"/>
              </w:rPr>
              <w:t>require includes laravel/framework ^12.0; require-dev includes phpunit/phpunit ^11.5.3; composer test script runs php artisan test.</w:t>
            </w:r>
          </w:p>
        </w:tc>
        <w:tc>
          <w:tcPr>
            <w:tcW w:type="dxa" w:w="2880"/>
            <w:tcBorders>
              <w:top w:val="single" w:sz="8" w:space="0" w:color="B7C9D6"/>
              <w:left w:val="single" w:sz="8" w:space="0" w:color="B7C9D6"/>
              <w:bottom w:val="single" w:sz="8" w:space="0" w:color="B7C9D6"/>
              <w:right w:val="single" w:sz="8" w:space="0" w:color="B7C9D6"/>
              <w:insideH w:val="single" w:sz="8" w:space="0" w:color="B7C9D6"/>
              <w:insideV w:val="single" w:sz="8" w:space="0" w:color="B7C9D6"/>
            </w:tcBorders>
            <w:tcMar>
              <w:top w:w="100" w:type="dxa"/>
              <w:start w:w="120" w:type="dxa"/>
              <w:bottom w:w="100" w:type="dxa"/>
              <w:end w:w="120" w:type="dxa"/>
            </w:tcMar>
            <w:vAlign w:val="center"/>
          </w:tcPr>
          <w:p>
            <w:pPr>
              <w:spacing w:after="0" w:line="259" w:lineRule="auto"/>
            </w:pPr>
            <w:r/>
            <w:r>
              <w:rPr>
                <w:rFonts w:ascii="Aptos" w:hAnsi="Aptos"/>
                <w:b w:val="0"/>
                <w:sz w:val="16"/>
              </w:rPr>
              <w:t>Confirmed PHP/Laravel test stack.</w:t>
            </w:r>
          </w:p>
        </w:tc>
      </w:tr>
      <w:tr>
        <w:tc>
          <w:tcPr>
            <w:tcW w:type="dxa" w:w="3384"/>
            <w:tcBorders>
              <w:top w:val="single" w:sz="8" w:space="0" w:color="B7C9D6"/>
              <w:left w:val="single" w:sz="8" w:space="0" w:color="B7C9D6"/>
              <w:bottom w:val="single" w:sz="8" w:space="0" w:color="B7C9D6"/>
              <w:right w:val="single" w:sz="8" w:space="0" w:color="B7C9D6"/>
              <w:insideH w:val="single" w:sz="8" w:space="0" w:color="B7C9D6"/>
              <w:insideV w:val="single" w:sz="8" w:space="0" w:color="B7C9D6"/>
            </w:tcBorders>
            <w:tcMar>
              <w:top w:w="100" w:type="dxa"/>
              <w:start w:w="120" w:type="dxa"/>
              <w:bottom w:w="100" w:type="dxa"/>
              <w:end w:w="120" w:type="dxa"/>
            </w:tcMar>
            <w:vAlign w:val="center"/>
          </w:tcPr>
          <w:p>
            <w:pPr>
              <w:spacing w:after="0" w:line="259" w:lineRule="auto"/>
            </w:pPr>
            <w:r/>
            <w:r>
              <w:rPr>
                <w:rFonts w:ascii="Aptos" w:hAnsi="Aptos"/>
                <w:b w:val="0"/>
                <w:sz w:val="16"/>
              </w:rPr>
              <w:t>Get-Content package.json</w:t>
            </w:r>
          </w:p>
        </w:tc>
        <w:tc>
          <w:tcPr>
            <w:tcW w:type="dxa" w:w="4608"/>
            <w:tcBorders>
              <w:top w:val="single" w:sz="8" w:space="0" w:color="B7C9D6"/>
              <w:left w:val="single" w:sz="8" w:space="0" w:color="B7C9D6"/>
              <w:bottom w:val="single" w:sz="8" w:space="0" w:color="B7C9D6"/>
              <w:right w:val="single" w:sz="8" w:space="0" w:color="B7C9D6"/>
              <w:insideH w:val="single" w:sz="8" w:space="0" w:color="B7C9D6"/>
              <w:insideV w:val="single" w:sz="8" w:space="0" w:color="B7C9D6"/>
            </w:tcBorders>
            <w:tcMar>
              <w:top w:w="100" w:type="dxa"/>
              <w:start w:w="120" w:type="dxa"/>
              <w:bottom w:w="100" w:type="dxa"/>
              <w:end w:w="120" w:type="dxa"/>
            </w:tcMar>
            <w:vAlign w:val="center"/>
          </w:tcPr>
          <w:p>
            <w:pPr>
              <w:spacing w:after="0" w:line="259" w:lineRule="auto"/>
            </w:pPr>
            <w:r/>
            <w:r>
              <w:rPr>
                <w:rFonts w:ascii="Aptos" w:hAnsi="Aptos"/>
                <w:b w:val="0"/>
                <w:sz w:val="16"/>
              </w:rPr>
              <w:t>Scripts include test:e2e, test:e2e:php-only, test:e2e:ui, and test:e2e:headed using Playwright.</w:t>
            </w:r>
          </w:p>
        </w:tc>
        <w:tc>
          <w:tcPr>
            <w:tcW w:type="dxa" w:w="2880"/>
            <w:tcBorders>
              <w:top w:val="single" w:sz="8" w:space="0" w:color="B7C9D6"/>
              <w:left w:val="single" w:sz="8" w:space="0" w:color="B7C9D6"/>
              <w:bottom w:val="single" w:sz="8" w:space="0" w:color="B7C9D6"/>
              <w:right w:val="single" w:sz="8" w:space="0" w:color="B7C9D6"/>
              <w:insideH w:val="single" w:sz="8" w:space="0" w:color="B7C9D6"/>
              <w:insideV w:val="single" w:sz="8" w:space="0" w:color="B7C9D6"/>
            </w:tcBorders>
            <w:tcMar>
              <w:top w:w="100" w:type="dxa"/>
              <w:start w:w="120" w:type="dxa"/>
              <w:bottom w:w="100" w:type="dxa"/>
              <w:end w:w="120" w:type="dxa"/>
            </w:tcMar>
            <w:vAlign w:val="center"/>
          </w:tcPr>
          <w:p>
            <w:pPr>
              <w:spacing w:after="0" w:line="259" w:lineRule="auto"/>
            </w:pPr>
            <w:r/>
            <w:r>
              <w:rPr>
                <w:rFonts w:ascii="Aptos" w:hAnsi="Aptos"/>
                <w:b w:val="0"/>
                <w:sz w:val="16"/>
              </w:rPr>
              <w:t>Confirmed a separate browser E2E layer exists.</w:t>
            </w:r>
          </w:p>
        </w:tc>
      </w:tr>
      <w:tr>
        <w:tc>
          <w:tcPr>
            <w:tcW w:type="dxa" w:w="3384"/>
            <w:tcBorders>
              <w:top w:val="single" w:sz="8" w:space="0" w:color="B7C9D6"/>
              <w:left w:val="single" w:sz="8" w:space="0" w:color="B7C9D6"/>
              <w:bottom w:val="single" w:sz="8" w:space="0" w:color="B7C9D6"/>
              <w:right w:val="single" w:sz="8" w:space="0" w:color="B7C9D6"/>
              <w:insideH w:val="single" w:sz="8" w:space="0" w:color="B7C9D6"/>
              <w:insideV w:val="single" w:sz="8" w:space="0" w:color="B7C9D6"/>
            </w:tcBorders>
            <w:tcMar>
              <w:top w:w="100" w:type="dxa"/>
              <w:start w:w="120" w:type="dxa"/>
              <w:bottom w:w="100" w:type="dxa"/>
              <w:end w:w="120" w:type="dxa"/>
            </w:tcMar>
            <w:vAlign w:val="center"/>
          </w:tcPr>
          <w:p>
            <w:pPr>
              <w:spacing w:after="0" w:line="259" w:lineRule="auto"/>
            </w:pPr>
            <w:r/>
            <w:r>
              <w:rPr>
                <w:rFonts w:ascii="Aptos" w:hAnsi="Aptos"/>
                <w:b w:val="0"/>
                <w:sz w:val="16"/>
              </w:rPr>
              <w:t>Get-Content phpunit.xml</w:t>
            </w:r>
          </w:p>
        </w:tc>
        <w:tc>
          <w:tcPr>
            <w:tcW w:type="dxa" w:w="4608"/>
            <w:tcBorders>
              <w:top w:val="single" w:sz="8" w:space="0" w:color="B7C9D6"/>
              <w:left w:val="single" w:sz="8" w:space="0" w:color="B7C9D6"/>
              <w:bottom w:val="single" w:sz="8" w:space="0" w:color="B7C9D6"/>
              <w:right w:val="single" w:sz="8" w:space="0" w:color="B7C9D6"/>
              <w:insideH w:val="single" w:sz="8" w:space="0" w:color="B7C9D6"/>
              <w:insideV w:val="single" w:sz="8" w:space="0" w:color="B7C9D6"/>
            </w:tcBorders>
            <w:tcMar>
              <w:top w:w="100" w:type="dxa"/>
              <w:start w:w="120" w:type="dxa"/>
              <w:bottom w:w="100" w:type="dxa"/>
              <w:end w:w="120" w:type="dxa"/>
            </w:tcMar>
            <w:vAlign w:val="center"/>
          </w:tcPr>
          <w:p>
            <w:pPr>
              <w:spacing w:after="0" w:line="259" w:lineRule="auto"/>
            </w:pPr>
            <w:r/>
            <w:r>
              <w:rPr>
                <w:rFonts w:ascii="Aptos" w:hAnsi="Aptos"/>
                <w:b w:val="0"/>
                <w:sz w:val="16"/>
              </w:rPr>
              <w:t>testsuites define Unit =&gt; tests/Unit and Feature =&gt; tests/Feature. source include is app. APP_ENV=testing and sqlite :memory: are configured.</w:t>
            </w:r>
          </w:p>
        </w:tc>
        <w:tc>
          <w:tcPr>
            <w:tcW w:type="dxa" w:w="2880"/>
            <w:tcBorders>
              <w:top w:val="single" w:sz="8" w:space="0" w:color="B7C9D6"/>
              <w:left w:val="single" w:sz="8" w:space="0" w:color="B7C9D6"/>
              <w:bottom w:val="single" w:sz="8" w:space="0" w:color="B7C9D6"/>
              <w:right w:val="single" w:sz="8" w:space="0" w:color="B7C9D6"/>
              <w:insideH w:val="single" w:sz="8" w:space="0" w:color="B7C9D6"/>
              <w:insideV w:val="single" w:sz="8" w:space="0" w:color="B7C9D6"/>
            </w:tcBorders>
            <w:tcMar>
              <w:top w:w="100" w:type="dxa"/>
              <w:start w:w="120" w:type="dxa"/>
              <w:bottom w:w="100" w:type="dxa"/>
              <w:end w:w="120" w:type="dxa"/>
            </w:tcMar>
            <w:vAlign w:val="center"/>
          </w:tcPr>
          <w:p>
            <w:pPr>
              <w:spacing w:after="0" w:line="259" w:lineRule="auto"/>
            </w:pPr>
            <w:r/>
            <w:r>
              <w:rPr>
                <w:rFonts w:ascii="Aptos" w:hAnsi="Aptos"/>
                <w:b w:val="0"/>
                <w:sz w:val="16"/>
              </w:rPr>
              <w:t>Confirmed what the coverage percentage is measuring.</w:t>
            </w:r>
          </w:p>
        </w:tc>
      </w:tr>
      <w:tr>
        <w:tc>
          <w:tcPr>
            <w:tcW w:type="dxa" w:w="3384"/>
            <w:tcBorders>
              <w:top w:val="single" w:sz="8" w:space="0" w:color="B7C9D6"/>
              <w:left w:val="single" w:sz="8" w:space="0" w:color="B7C9D6"/>
              <w:bottom w:val="single" w:sz="8" w:space="0" w:color="B7C9D6"/>
              <w:right w:val="single" w:sz="8" w:space="0" w:color="B7C9D6"/>
              <w:insideH w:val="single" w:sz="8" w:space="0" w:color="B7C9D6"/>
              <w:insideV w:val="single" w:sz="8" w:space="0" w:color="B7C9D6"/>
            </w:tcBorders>
            <w:tcMar>
              <w:top w:w="100" w:type="dxa"/>
              <w:start w:w="120" w:type="dxa"/>
              <w:bottom w:w="100" w:type="dxa"/>
              <w:end w:w="120" w:type="dxa"/>
            </w:tcMar>
            <w:vAlign w:val="center"/>
          </w:tcPr>
          <w:p>
            <w:pPr>
              <w:spacing w:after="0" w:line="259" w:lineRule="auto"/>
            </w:pPr>
            <w:r/>
            <w:r>
              <w:rPr>
                <w:rFonts w:ascii="Aptos" w:hAnsi="Aptos"/>
                <w:b w:val="0"/>
                <w:sz w:val="16"/>
              </w:rPr>
              <w:t>Get-ChildItem -Path tests -Recurse -File</w:t>
            </w:r>
          </w:p>
        </w:tc>
        <w:tc>
          <w:tcPr>
            <w:tcW w:type="dxa" w:w="4608"/>
            <w:tcBorders>
              <w:top w:val="single" w:sz="8" w:space="0" w:color="B7C9D6"/>
              <w:left w:val="single" w:sz="8" w:space="0" w:color="B7C9D6"/>
              <w:bottom w:val="single" w:sz="8" w:space="0" w:color="B7C9D6"/>
              <w:right w:val="single" w:sz="8" w:space="0" w:color="B7C9D6"/>
              <w:insideH w:val="single" w:sz="8" w:space="0" w:color="B7C9D6"/>
              <w:insideV w:val="single" w:sz="8" w:space="0" w:color="B7C9D6"/>
            </w:tcBorders>
            <w:tcMar>
              <w:top w:w="100" w:type="dxa"/>
              <w:start w:w="120" w:type="dxa"/>
              <w:bottom w:w="100" w:type="dxa"/>
              <w:end w:w="120" w:type="dxa"/>
            </w:tcMar>
            <w:vAlign w:val="center"/>
          </w:tcPr>
          <w:p>
            <w:pPr>
              <w:spacing w:after="0" w:line="259" w:lineRule="auto"/>
            </w:pPr>
            <w:r/>
            <w:r>
              <w:rPr>
                <w:rFonts w:ascii="Aptos" w:hAnsi="Aptos"/>
                <w:b w:val="0"/>
                <w:sz w:val="16"/>
              </w:rPr>
              <w:t>Detected Unit, Feature, and e2e test directories with many PHP tests and 5 Playwright specs.</w:t>
            </w:r>
          </w:p>
        </w:tc>
        <w:tc>
          <w:tcPr>
            <w:tcW w:type="dxa" w:w="2880"/>
            <w:tcBorders>
              <w:top w:val="single" w:sz="8" w:space="0" w:color="B7C9D6"/>
              <w:left w:val="single" w:sz="8" w:space="0" w:color="B7C9D6"/>
              <w:bottom w:val="single" w:sz="8" w:space="0" w:color="B7C9D6"/>
              <w:right w:val="single" w:sz="8" w:space="0" w:color="B7C9D6"/>
              <w:insideH w:val="single" w:sz="8" w:space="0" w:color="B7C9D6"/>
              <w:insideV w:val="single" w:sz="8" w:space="0" w:color="B7C9D6"/>
            </w:tcBorders>
            <w:tcMar>
              <w:top w:w="100" w:type="dxa"/>
              <w:start w:w="120" w:type="dxa"/>
              <w:bottom w:w="100" w:type="dxa"/>
              <w:end w:w="120" w:type="dxa"/>
            </w:tcMar>
            <w:vAlign w:val="center"/>
          </w:tcPr>
          <w:p>
            <w:pPr>
              <w:spacing w:after="0" w:line="259" w:lineRule="auto"/>
            </w:pPr>
            <w:r/>
            <w:r>
              <w:rPr>
                <w:rFonts w:ascii="Aptos" w:hAnsi="Aptos"/>
                <w:b w:val="0"/>
                <w:sz w:val="16"/>
              </w:rPr>
              <w:t>Confirmed test organization.</w:t>
            </w:r>
          </w:p>
        </w:tc>
      </w:tr>
      <w:tr>
        <w:tc>
          <w:tcPr>
            <w:tcW w:type="dxa" w:w="3384"/>
            <w:tcBorders>
              <w:top w:val="single" w:sz="8" w:space="0" w:color="B7C9D6"/>
              <w:left w:val="single" w:sz="8" w:space="0" w:color="B7C9D6"/>
              <w:bottom w:val="single" w:sz="8" w:space="0" w:color="B7C9D6"/>
              <w:right w:val="single" w:sz="8" w:space="0" w:color="B7C9D6"/>
              <w:insideH w:val="single" w:sz="8" w:space="0" w:color="B7C9D6"/>
              <w:insideV w:val="single" w:sz="8" w:space="0" w:color="B7C9D6"/>
            </w:tcBorders>
            <w:tcMar>
              <w:top w:w="100" w:type="dxa"/>
              <w:start w:w="120" w:type="dxa"/>
              <w:bottom w:w="100" w:type="dxa"/>
              <w:end w:w="120" w:type="dxa"/>
            </w:tcMar>
            <w:vAlign w:val="center"/>
          </w:tcPr>
          <w:p>
            <w:pPr>
              <w:spacing w:after="0" w:line="259" w:lineRule="auto"/>
            </w:pPr>
            <w:r/>
            <w:r>
              <w:rPr>
                <w:rFonts w:ascii="Aptos" w:hAnsi="Aptos"/>
                <w:b w:val="0"/>
                <w:sz w:val="16"/>
              </w:rPr>
              <w:t>php -v</w:t>
            </w:r>
          </w:p>
        </w:tc>
        <w:tc>
          <w:tcPr>
            <w:tcW w:type="dxa" w:w="4608"/>
            <w:tcBorders>
              <w:top w:val="single" w:sz="8" w:space="0" w:color="B7C9D6"/>
              <w:left w:val="single" w:sz="8" w:space="0" w:color="B7C9D6"/>
              <w:bottom w:val="single" w:sz="8" w:space="0" w:color="B7C9D6"/>
              <w:right w:val="single" w:sz="8" w:space="0" w:color="B7C9D6"/>
              <w:insideH w:val="single" w:sz="8" w:space="0" w:color="B7C9D6"/>
              <w:insideV w:val="single" w:sz="8" w:space="0" w:color="B7C9D6"/>
            </w:tcBorders>
            <w:tcMar>
              <w:top w:w="100" w:type="dxa"/>
              <w:start w:w="120" w:type="dxa"/>
              <w:bottom w:w="100" w:type="dxa"/>
              <w:end w:w="120" w:type="dxa"/>
            </w:tcMar>
            <w:vAlign w:val="center"/>
          </w:tcPr>
          <w:p>
            <w:pPr>
              <w:spacing w:after="0" w:line="259" w:lineRule="auto"/>
            </w:pPr>
            <w:r/>
            <w:r>
              <w:rPr>
                <w:rFonts w:ascii="Aptos" w:hAnsi="Aptos"/>
                <w:b w:val="0"/>
                <w:sz w:val="16"/>
              </w:rPr>
              <w:t>PHP 8.3.16 CLI with Xdebug v3.5.1.</w:t>
            </w:r>
          </w:p>
        </w:tc>
        <w:tc>
          <w:tcPr>
            <w:tcW w:type="dxa" w:w="2880"/>
            <w:tcBorders>
              <w:top w:val="single" w:sz="8" w:space="0" w:color="B7C9D6"/>
              <w:left w:val="single" w:sz="8" w:space="0" w:color="B7C9D6"/>
              <w:bottom w:val="single" w:sz="8" w:space="0" w:color="B7C9D6"/>
              <w:right w:val="single" w:sz="8" w:space="0" w:color="B7C9D6"/>
              <w:insideH w:val="single" w:sz="8" w:space="0" w:color="B7C9D6"/>
              <w:insideV w:val="single" w:sz="8" w:space="0" w:color="B7C9D6"/>
            </w:tcBorders>
            <w:tcMar>
              <w:top w:w="100" w:type="dxa"/>
              <w:start w:w="120" w:type="dxa"/>
              <w:bottom w:w="100" w:type="dxa"/>
              <w:end w:w="120" w:type="dxa"/>
            </w:tcMar>
            <w:vAlign w:val="center"/>
          </w:tcPr>
          <w:p>
            <w:pPr>
              <w:spacing w:after="0" w:line="259" w:lineRule="auto"/>
            </w:pPr>
            <w:r/>
            <w:r>
              <w:rPr>
                <w:rFonts w:ascii="Aptos" w:hAnsi="Aptos"/>
                <w:b w:val="0"/>
                <w:sz w:val="16"/>
              </w:rPr>
              <w:t>Coverage can be generated locally.</w:t>
            </w:r>
          </w:p>
        </w:tc>
      </w:tr>
      <w:tr>
        <w:tc>
          <w:tcPr>
            <w:tcW w:type="dxa" w:w="3384"/>
            <w:tcBorders>
              <w:top w:val="single" w:sz="8" w:space="0" w:color="B7C9D6"/>
              <w:left w:val="single" w:sz="8" w:space="0" w:color="B7C9D6"/>
              <w:bottom w:val="single" w:sz="8" w:space="0" w:color="B7C9D6"/>
              <w:right w:val="single" w:sz="8" w:space="0" w:color="B7C9D6"/>
              <w:insideH w:val="single" w:sz="8" w:space="0" w:color="B7C9D6"/>
              <w:insideV w:val="single" w:sz="8" w:space="0" w:color="B7C9D6"/>
            </w:tcBorders>
            <w:tcMar>
              <w:top w:w="100" w:type="dxa"/>
              <w:start w:w="120" w:type="dxa"/>
              <w:bottom w:w="100" w:type="dxa"/>
              <w:end w:w="120" w:type="dxa"/>
            </w:tcMar>
            <w:vAlign w:val="center"/>
          </w:tcPr>
          <w:p>
            <w:pPr>
              <w:spacing w:after="0" w:line="259" w:lineRule="auto"/>
            </w:pPr>
            <w:r/>
            <w:r>
              <w:rPr>
                <w:rFonts w:ascii="Aptos" w:hAnsi="Aptos"/>
                <w:b w:val="0"/>
                <w:sz w:val="16"/>
              </w:rPr>
              <w:t>php -m</w:t>
            </w:r>
          </w:p>
        </w:tc>
        <w:tc>
          <w:tcPr>
            <w:tcW w:type="dxa" w:w="4608"/>
            <w:tcBorders>
              <w:top w:val="single" w:sz="8" w:space="0" w:color="B7C9D6"/>
              <w:left w:val="single" w:sz="8" w:space="0" w:color="B7C9D6"/>
              <w:bottom w:val="single" w:sz="8" w:space="0" w:color="B7C9D6"/>
              <w:right w:val="single" w:sz="8" w:space="0" w:color="B7C9D6"/>
              <w:insideH w:val="single" w:sz="8" w:space="0" w:color="B7C9D6"/>
              <w:insideV w:val="single" w:sz="8" w:space="0" w:color="B7C9D6"/>
            </w:tcBorders>
            <w:tcMar>
              <w:top w:w="100" w:type="dxa"/>
              <w:start w:w="120" w:type="dxa"/>
              <w:bottom w:w="100" w:type="dxa"/>
              <w:end w:w="120" w:type="dxa"/>
            </w:tcMar>
            <w:vAlign w:val="center"/>
          </w:tcPr>
          <w:p>
            <w:pPr>
              <w:spacing w:after="0" w:line="259" w:lineRule="auto"/>
            </w:pPr>
            <w:r/>
            <w:r>
              <w:rPr>
                <w:rFonts w:ascii="Aptos" w:hAnsi="Aptos"/>
                <w:b w:val="0"/>
                <w:sz w:val="16"/>
              </w:rPr>
              <w:t>Module list includes xdebug.</w:t>
            </w:r>
          </w:p>
        </w:tc>
        <w:tc>
          <w:tcPr>
            <w:tcW w:type="dxa" w:w="2880"/>
            <w:tcBorders>
              <w:top w:val="single" w:sz="8" w:space="0" w:color="B7C9D6"/>
              <w:left w:val="single" w:sz="8" w:space="0" w:color="B7C9D6"/>
              <w:bottom w:val="single" w:sz="8" w:space="0" w:color="B7C9D6"/>
              <w:right w:val="single" w:sz="8" w:space="0" w:color="B7C9D6"/>
              <w:insideH w:val="single" w:sz="8" w:space="0" w:color="B7C9D6"/>
              <w:insideV w:val="single" w:sz="8" w:space="0" w:color="B7C9D6"/>
            </w:tcBorders>
            <w:tcMar>
              <w:top w:w="100" w:type="dxa"/>
              <w:start w:w="120" w:type="dxa"/>
              <w:bottom w:w="100" w:type="dxa"/>
              <w:end w:w="120" w:type="dxa"/>
            </w:tcMar>
            <w:vAlign w:val="center"/>
          </w:tcPr>
          <w:p>
            <w:pPr>
              <w:spacing w:after="0" w:line="259" w:lineRule="auto"/>
            </w:pPr>
            <w:r/>
            <w:r>
              <w:rPr>
                <w:rFonts w:ascii="Aptos" w:hAnsi="Aptos"/>
                <w:b w:val="0"/>
                <w:sz w:val="16"/>
              </w:rPr>
              <w:t>Confirmed coverage driver is loaded.</w:t>
            </w:r>
          </w:p>
        </w:tc>
      </w:tr>
      <w:tr>
        <w:tc>
          <w:tcPr>
            <w:tcW w:type="dxa" w:w="3384"/>
            <w:tcBorders>
              <w:top w:val="single" w:sz="8" w:space="0" w:color="B7C9D6"/>
              <w:left w:val="single" w:sz="8" w:space="0" w:color="B7C9D6"/>
              <w:bottom w:val="single" w:sz="8" w:space="0" w:color="B7C9D6"/>
              <w:right w:val="single" w:sz="8" w:space="0" w:color="B7C9D6"/>
              <w:insideH w:val="single" w:sz="8" w:space="0" w:color="B7C9D6"/>
              <w:insideV w:val="single" w:sz="8" w:space="0" w:color="B7C9D6"/>
            </w:tcBorders>
            <w:tcMar>
              <w:top w:w="100" w:type="dxa"/>
              <w:start w:w="120" w:type="dxa"/>
              <w:bottom w:w="100" w:type="dxa"/>
              <w:end w:w="120" w:type="dxa"/>
            </w:tcMar>
            <w:vAlign w:val="center"/>
          </w:tcPr>
          <w:p>
            <w:pPr>
              <w:spacing w:after="0" w:line="259" w:lineRule="auto"/>
            </w:pPr>
            <w:r/>
            <w:r>
              <w:rPr>
                <w:rFonts w:ascii="Aptos" w:hAnsi="Aptos"/>
                <w:b w:val="0"/>
                <w:sz w:val="16"/>
              </w:rPr>
              <w:t>Get-ChildItem tests\Unit / tests\Feature / tests\e2e counts</w:t>
            </w:r>
          </w:p>
        </w:tc>
        <w:tc>
          <w:tcPr>
            <w:tcW w:type="dxa" w:w="4608"/>
            <w:tcBorders>
              <w:top w:val="single" w:sz="8" w:space="0" w:color="B7C9D6"/>
              <w:left w:val="single" w:sz="8" w:space="0" w:color="B7C9D6"/>
              <w:bottom w:val="single" w:sz="8" w:space="0" w:color="B7C9D6"/>
              <w:right w:val="single" w:sz="8" w:space="0" w:color="B7C9D6"/>
              <w:insideH w:val="single" w:sz="8" w:space="0" w:color="B7C9D6"/>
              <w:insideV w:val="single" w:sz="8" w:space="0" w:color="B7C9D6"/>
            </w:tcBorders>
            <w:tcMar>
              <w:top w:w="100" w:type="dxa"/>
              <w:start w:w="120" w:type="dxa"/>
              <w:bottom w:w="100" w:type="dxa"/>
              <w:end w:w="120" w:type="dxa"/>
            </w:tcMar>
            <w:vAlign w:val="center"/>
          </w:tcPr>
          <w:p>
            <w:pPr>
              <w:spacing w:after="0" w:line="259" w:lineRule="auto"/>
            </w:pPr>
            <w:r/>
            <w:r>
              <w:rPr>
                <w:rFonts w:ascii="Aptos" w:hAnsi="Aptos"/>
                <w:b w:val="0"/>
                <w:sz w:val="16"/>
              </w:rPr>
              <w:t>46 Unit PHP files, 70 Feature PHP files, and 5 E2E JavaScript files.</w:t>
            </w:r>
          </w:p>
        </w:tc>
        <w:tc>
          <w:tcPr>
            <w:tcW w:type="dxa" w:w="2880"/>
            <w:tcBorders>
              <w:top w:val="single" w:sz="8" w:space="0" w:color="B7C9D6"/>
              <w:left w:val="single" w:sz="8" w:space="0" w:color="B7C9D6"/>
              <w:bottom w:val="single" w:sz="8" w:space="0" w:color="B7C9D6"/>
              <w:right w:val="single" w:sz="8" w:space="0" w:color="B7C9D6"/>
              <w:insideH w:val="single" w:sz="8" w:space="0" w:color="B7C9D6"/>
              <w:insideV w:val="single" w:sz="8" w:space="0" w:color="B7C9D6"/>
            </w:tcBorders>
            <w:tcMar>
              <w:top w:w="100" w:type="dxa"/>
              <w:start w:w="120" w:type="dxa"/>
              <w:bottom w:w="100" w:type="dxa"/>
              <w:end w:w="120" w:type="dxa"/>
            </w:tcMar>
            <w:vAlign w:val="center"/>
          </w:tcPr>
          <w:p>
            <w:pPr>
              <w:spacing w:after="0" w:line="259" w:lineRule="auto"/>
            </w:pPr>
            <w:r/>
            <w:r>
              <w:rPr>
                <w:rFonts w:ascii="Aptos" w:hAnsi="Aptos"/>
                <w:b w:val="0"/>
                <w:sz w:val="16"/>
              </w:rPr>
              <w:t>Confirmed file-level distribution.</w:t>
            </w:r>
          </w:p>
        </w:tc>
      </w:tr>
      <w:tr>
        <w:tc>
          <w:tcPr>
            <w:tcW w:type="dxa" w:w="3384"/>
            <w:tcBorders>
              <w:top w:val="single" w:sz="8" w:space="0" w:color="B7C9D6"/>
              <w:left w:val="single" w:sz="8" w:space="0" w:color="B7C9D6"/>
              <w:bottom w:val="single" w:sz="8" w:space="0" w:color="B7C9D6"/>
              <w:right w:val="single" w:sz="8" w:space="0" w:color="B7C9D6"/>
              <w:insideH w:val="single" w:sz="8" w:space="0" w:color="B7C9D6"/>
              <w:insideV w:val="single" w:sz="8" w:space="0" w:color="B7C9D6"/>
            </w:tcBorders>
            <w:tcMar>
              <w:top w:w="100" w:type="dxa"/>
              <w:start w:w="120" w:type="dxa"/>
              <w:bottom w:w="100" w:type="dxa"/>
              <w:end w:w="120" w:type="dxa"/>
            </w:tcMar>
            <w:vAlign w:val="center"/>
          </w:tcPr>
          <w:p>
            <w:pPr>
              <w:spacing w:after="0" w:line="259" w:lineRule="auto"/>
            </w:pPr>
            <w:r/>
            <w:r>
              <w:rPr>
                <w:rFonts w:ascii="Aptos" w:hAnsi="Aptos"/>
                <w:b w:val="0"/>
                <w:sz w:val="16"/>
              </w:rPr>
              <w:t>$env:XDEBUG_MODE='coverage'; php artisan test --coverage</w:t>
            </w:r>
          </w:p>
        </w:tc>
        <w:tc>
          <w:tcPr>
            <w:tcW w:type="dxa" w:w="4608"/>
            <w:tcBorders>
              <w:top w:val="single" w:sz="8" w:space="0" w:color="B7C9D6"/>
              <w:left w:val="single" w:sz="8" w:space="0" w:color="B7C9D6"/>
              <w:bottom w:val="single" w:sz="8" w:space="0" w:color="B7C9D6"/>
              <w:right w:val="single" w:sz="8" w:space="0" w:color="B7C9D6"/>
              <w:insideH w:val="single" w:sz="8" w:space="0" w:color="B7C9D6"/>
              <w:insideV w:val="single" w:sz="8" w:space="0" w:color="B7C9D6"/>
            </w:tcBorders>
            <w:tcMar>
              <w:top w:w="100" w:type="dxa"/>
              <w:start w:w="120" w:type="dxa"/>
              <w:bottom w:w="100" w:type="dxa"/>
              <w:end w:w="120" w:type="dxa"/>
            </w:tcMar>
            <w:vAlign w:val="center"/>
          </w:tcPr>
          <w:p>
            <w:pPr>
              <w:spacing w:after="0" w:line="259" w:lineRule="auto"/>
            </w:pPr>
            <w:r/>
            <w:r>
              <w:rPr>
                <w:rFonts w:ascii="Aptos" w:hAnsi="Aptos"/>
                <w:b w:val="0"/>
                <w:sz w:val="16"/>
              </w:rPr>
              <w:t>Command exited successfully after 855.7 seconds. Coverage report ended with: Total: 93.3%.</w:t>
            </w:r>
          </w:p>
        </w:tc>
        <w:tc>
          <w:tcPr>
            <w:tcW w:type="dxa" w:w="2880"/>
            <w:tcBorders>
              <w:top w:val="single" w:sz="8" w:space="0" w:color="B7C9D6"/>
              <w:left w:val="single" w:sz="8" w:space="0" w:color="B7C9D6"/>
              <w:bottom w:val="single" w:sz="8" w:space="0" w:color="B7C9D6"/>
              <w:right w:val="single" w:sz="8" w:space="0" w:color="B7C9D6"/>
              <w:insideH w:val="single" w:sz="8" w:space="0" w:color="B7C9D6"/>
              <w:insideV w:val="single" w:sz="8" w:space="0" w:color="B7C9D6"/>
            </w:tcBorders>
            <w:tcMar>
              <w:top w:w="100" w:type="dxa"/>
              <w:start w:w="120" w:type="dxa"/>
              <w:bottom w:w="100" w:type="dxa"/>
              <w:end w:w="120" w:type="dxa"/>
            </w:tcMar>
            <w:vAlign w:val="center"/>
          </w:tcPr>
          <w:p>
            <w:pPr>
              <w:spacing w:after="0" w:line="259" w:lineRule="auto"/>
            </w:pPr>
            <w:r/>
            <w:r>
              <w:rPr>
                <w:rFonts w:ascii="Aptos" w:hAnsi="Aptos"/>
                <w:b w:val="0"/>
                <w:sz w:val="16"/>
              </w:rPr>
              <w:t>Authoritative basis for final coverage judgment.</w:t>
            </w:r>
          </w:p>
        </w:tc>
      </w:tr>
      <w:tr>
        <w:tc>
          <w:tcPr>
            <w:tcW w:type="dxa" w:w="3384"/>
            <w:tcBorders>
              <w:top w:val="single" w:sz="8" w:space="0" w:color="B7C9D6"/>
              <w:left w:val="single" w:sz="8" w:space="0" w:color="B7C9D6"/>
              <w:bottom w:val="single" w:sz="8" w:space="0" w:color="B7C9D6"/>
              <w:right w:val="single" w:sz="8" w:space="0" w:color="B7C9D6"/>
              <w:insideH w:val="single" w:sz="8" w:space="0" w:color="B7C9D6"/>
              <w:insideV w:val="single" w:sz="8" w:space="0" w:color="B7C9D6"/>
            </w:tcBorders>
            <w:tcMar>
              <w:top w:w="100" w:type="dxa"/>
              <w:start w:w="120" w:type="dxa"/>
              <w:bottom w:w="100" w:type="dxa"/>
              <w:end w:w="120" w:type="dxa"/>
            </w:tcMar>
            <w:vAlign w:val="center"/>
          </w:tcPr>
          <w:p>
            <w:pPr>
              <w:spacing w:after="0" w:line="259" w:lineRule="auto"/>
            </w:pPr>
            <w:r/>
            <w:r>
              <w:rPr>
                <w:rFonts w:ascii="Aptos" w:hAnsi="Aptos"/>
                <w:b w:val="0"/>
                <w:sz w:val="16"/>
              </w:rPr>
              <w:t>php artisan test --compact</w:t>
            </w:r>
          </w:p>
        </w:tc>
        <w:tc>
          <w:tcPr>
            <w:tcW w:type="dxa" w:w="4608"/>
            <w:tcBorders>
              <w:top w:val="single" w:sz="8" w:space="0" w:color="B7C9D6"/>
              <w:left w:val="single" w:sz="8" w:space="0" w:color="B7C9D6"/>
              <w:bottom w:val="single" w:sz="8" w:space="0" w:color="B7C9D6"/>
              <w:right w:val="single" w:sz="8" w:space="0" w:color="B7C9D6"/>
              <w:insideH w:val="single" w:sz="8" w:space="0" w:color="B7C9D6"/>
              <w:insideV w:val="single" w:sz="8" w:space="0" w:color="B7C9D6"/>
            </w:tcBorders>
            <w:tcMar>
              <w:top w:w="100" w:type="dxa"/>
              <w:start w:w="120" w:type="dxa"/>
              <w:bottom w:w="100" w:type="dxa"/>
              <w:end w:w="120" w:type="dxa"/>
            </w:tcMar>
            <w:vAlign w:val="center"/>
          </w:tcPr>
          <w:p>
            <w:pPr>
              <w:spacing w:after="0" w:line="259" w:lineRule="auto"/>
            </w:pPr>
            <w:r/>
            <w:r>
              <w:rPr>
                <w:rFonts w:ascii="Aptos" w:hAnsi="Aptos"/>
                <w:b w:val="0"/>
                <w:sz w:val="16"/>
              </w:rPr>
              <w:t>Tests: 784 passed (2658 assertions). Duration: 349.24s.</w:t>
            </w:r>
          </w:p>
        </w:tc>
        <w:tc>
          <w:tcPr>
            <w:tcW w:type="dxa" w:w="2880"/>
            <w:tcBorders>
              <w:top w:val="single" w:sz="8" w:space="0" w:color="B7C9D6"/>
              <w:left w:val="single" w:sz="8" w:space="0" w:color="B7C9D6"/>
              <w:bottom w:val="single" w:sz="8" w:space="0" w:color="B7C9D6"/>
              <w:right w:val="single" w:sz="8" w:space="0" w:color="B7C9D6"/>
              <w:insideH w:val="single" w:sz="8" w:space="0" w:color="B7C9D6"/>
              <w:insideV w:val="single" w:sz="8" w:space="0" w:color="B7C9D6"/>
            </w:tcBorders>
            <w:tcMar>
              <w:top w:w="100" w:type="dxa"/>
              <w:start w:w="120" w:type="dxa"/>
              <w:bottom w:w="100" w:type="dxa"/>
              <w:end w:w="120" w:type="dxa"/>
            </w:tcMar>
            <w:vAlign w:val="center"/>
          </w:tcPr>
          <w:p>
            <w:pPr>
              <w:spacing w:after="0" w:line="259" w:lineRule="auto"/>
            </w:pPr>
            <w:r/>
            <w:r>
              <w:rPr>
                <w:rFonts w:ascii="Aptos" w:hAnsi="Aptos"/>
                <w:b w:val="0"/>
                <w:sz w:val="16"/>
              </w:rPr>
              <w:t>Confirmed all PHP tests pass without coverage overhead.</w:t>
            </w:r>
          </w:p>
        </w:tc>
      </w:tr>
      <w:tr>
        <w:tc>
          <w:tcPr>
            <w:tcW w:type="dxa" w:w="3384"/>
            <w:tcBorders>
              <w:top w:val="single" w:sz="8" w:space="0" w:color="B7C9D6"/>
              <w:left w:val="single" w:sz="8" w:space="0" w:color="B7C9D6"/>
              <w:bottom w:val="single" w:sz="8" w:space="0" w:color="B7C9D6"/>
              <w:right w:val="single" w:sz="8" w:space="0" w:color="B7C9D6"/>
              <w:insideH w:val="single" w:sz="8" w:space="0" w:color="B7C9D6"/>
              <w:insideV w:val="single" w:sz="8" w:space="0" w:color="B7C9D6"/>
            </w:tcBorders>
            <w:tcMar>
              <w:top w:w="100" w:type="dxa"/>
              <w:start w:w="120" w:type="dxa"/>
              <w:bottom w:w="100" w:type="dxa"/>
              <w:end w:w="120" w:type="dxa"/>
            </w:tcMar>
            <w:vAlign w:val="center"/>
          </w:tcPr>
          <w:p>
            <w:pPr>
              <w:spacing w:after="0" w:line="259" w:lineRule="auto"/>
            </w:pPr>
            <w:r/>
            <w:r>
              <w:rPr>
                <w:rFonts w:ascii="Aptos" w:hAnsi="Aptos"/>
                <w:b w:val="0"/>
                <w:sz w:val="16"/>
              </w:rPr>
              <w:t>php artisan test --testsuite=Unit --compact</w:t>
            </w:r>
          </w:p>
        </w:tc>
        <w:tc>
          <w:tcPr>
            <w:tcW w:type="dxa" w:w="4608"/>
            <w:tcBorders>
              <w:top w:val="single" w:sz="8" w:space="0" w:color="B7C9D6"/>
              <w:left w:val="single" w:sz="8" w:space="0" w:color="B7C9D6"/>
              <w:bottom w:val="single" w:sz="8" w:space="0" w:color="B7C9D6"/>
              <w:right w:val="single" w:sz="8" w:space="0" w:color="B7C9D6"/>
              <w:insideH w:val="single" w:sz="8" w:space="0" w:color="B7C9D6"/>
              <w:insideV w:val="single" w:sz="8" w:space="0" w:color="B7C9D6"/>
            </w:tcBorders>
            <w:tcMar>
              <w:top w:w="100" w:type="dxa"/>
              <w:start w:w="120" w:type="dxa"/>
              <w:bottom w:w="100" w:type="dxa"/>
              <w:end w:w="120" w:type="dxa"/>
            </w:tcMar>
            <w:vAlign w:val="center"/>
          </w:tcPr>
          <w:p>
            <w:pPr>
              <w:spacing w:after="0" w:line="259" w:lineRule="auto"/>
            </w:pPr>
            <w:r/>
            <w:r>
              <w:rPr>
                <w:rFonts w:ascii="Aptos" w:hAnsi="Aptos"/>
                <w:b w:val="0"/>
                <w:sz w:val="16"/>
              </w:rPr>
              <w:t>Tests: 243 passed (719 assertions). Duration: 34.41s.</w:t>
            </w:r>
          </w:p>
        </w:tc>
        <w:tc>
          <w:tcPr>
            <w:tcW w:type="dxa" w:w="2880"/>
            <w:tcBorders>
              <w:top w:val="single" w:sz="8" w:space="0" w:color="B7C9D6"/>
              <w:left w:val="single" w:sz="8" w:space="0" w:color="B7C9D6"/>
              <w:bottom w:val="single" w:sz="8" w:space="0" w:color="B7C9D6"/>
              <w:right w:val="single" w:sz="8" w:space="0" w:color="B7C9D6"/>
              <w:insideH w:val="single" w:sz="8" w:space="0" w:color="B7C9D6"/>
              <w:insideV w:val="single" w:sz="8" w:space="0" w:color="B7C9D6"/>
            </w:tcBorders>
            <w:tcMar>
              <w:top w:w="100" w:type="dxa"/>
              <w:start w:w="120" w:type="dxa"/>
              <w:bottom w:w="100" w:type="dxa"/>
              <w:end w:w="120" w:type="dxa"/>
            </w:tcMar>
            <w:vAlign w:val="center"/>
          </w:tcPr>
          <w:p>
            <w:pPr>
              <w:spacing w:after="0" w:line="259" w:lineRule="auto"/>
            </w:pPr>
            <w:r/>
            <w:r>
              <w:rPr>
                <w:rFonts w:ascii="Aptos" w:hAnsi="Aptos"/>
                <w:b w:val="0"/>
                <w:sz w:val="16"/>
              </w:rPr>
              <w:t>Confirmed Unit suite result.</w:t>
            </w:r>
          </w:p>
        </w:tc>
      </w:tr>
      <w:tr>
        <w:tc>
          <w:tcPr>
            <w:tcW w:type="dxa" w:w="3384"/>
            <w:tcBorders>
              <w:top w:val="single" w:sz="8" w:space="0" w:color="B7C9D6"/>
              <w:left w:val="single" w:sz="8" w:space="0" w:color="B7C9D6"/>
              <w:bottom w:val="single" w:sz="8" w:space="0" w:color="B7C9D6"/>
              <w:right w:val="single" w:sz="8" w:space="0" w:color="B7C9D6"/>
              <w:insideH w:val="single" w:sz="8" w:space="0" w:color="B7C9D6"/>
              <w:insideV w:val="single" w:sz="8" w:space="0" w:color="B7C9D6"/>
            </w:tcBorders>
            <w:tcMar>
              <w:top w:w="100" w:type="dxa"/>
              <w:start w:w="120" w:type="dxa"/>
              <w:bottom w:w="100" w:type="dxa"/>
              <w:end w:w="120" w:type="dxa"/>
            </w:tcMar>
            <w:vAlign w:val="center"/>
          </w:tcPr>
          <w:p>
            <w:pPr>
              <w:spacing w:after="0" w:line="259" w:lineRule="auto"/>
            </w:pPr>
            <w:r/>
            <w:r>
              <w:rPr>
                <w:rFonts w:ascii="Aptos" w:hAnsi="Aptos"/>
                <w:b w:val="0"/>
                <w:sz w:val="16"/>
              </w:rPr>
              <w:t>php artisan test --testsuite=Feature --compact</w:t>
            </w:r>
          </w:p>
        </w:tc>
        <w:tc>
          <w:tcPr>
            <w:tcW w:type="dxa" w:w="4608"/>
            <w:tcBorders>
              <w:top w:val="single" w:sz="8" w:space="0" w:color="B7C9D6"/>
              <w:left w:val="single" w:sz="8" w:space="0" w:color="B7C9D6"/>
              <w:bottom w:val="single" w:sz="8" w:space="0" w:color="B7C9D6"/>
              <w:right w:val="single" w:sz="8" w:space="0" w:color="B7C9D6"/>
              <w:insideH w:val="single" w:sz="8" w:space="0" w:color="B7C9D6"/>
              <w:insideV w:val="single" w:sz="8" w:space="0" w:color="B7C9D6"/>
            </w:tcBorders>
            <w:tcMar>
              <w:top w:w="100" w:type="dxa"/>
              <w:start w:w="120" w:type="dxa"/>
              <w:bottom w:w="100" w:type="dxa"/>
              <w:end w:w="120" w:type="dxa"/>
            </w:tcMar>
            <w:vAlign w:val="center"/>
          </w:tcPr>
          <w:p>
            <w:pPr>
              <w:spacing w:after="0" w:line="259" w:lineRule="auto"/>
            </w:pPr>
            <w:r/>
            <w:r>
              <w:rPr>
                <w:rFonts w:ascii="Aptos" w:hAnsi="Aptos"/>
                <w:b w:val="0"/>
                <w:sz w:val="16"/>
              </w:rPr>
              <w:t>Tests: 541 passed (1939 assertions). Duration: 216.73s.</w:t>
            </w:r>
          </w:p>
        </w:tc>
        <w:tc>
          <w:tcPr>
            <w:tcW w:type="dxa" w:w="2880"/>
            <w:tcBorders>
              <w:top w:val="single" w:sz="8" w:space="0" w:color="B7C9D6"/>
              <w:left w:val="single" w:sz="8" w:space="0" w:color="B7C9D6"/>
              <w:bottom w:val="single" w:sz="8" w:space="0" w:color="B7C9D6"/>
              <w:right w:val="single" w:sz="8" w:space="0" w:color="B7C9D6"/>
              <w:insideH w:val="single" w:sz="8" w:space="0" w:color="B7C9D6"/>
              <w:insideV w:val="single" w:sz="8" w:space="0" w:color="B7C9D6"/>
            </w:tcBorders>
            <w:tcMar>
              <w:top w:w="100" w:type="dxa"/>
              <w:start w:w="120" w:type="dxa"/>
              <w:bottom w:w="100" w:type="dxa"/>
              <w:end w:w="120" w:type="dxa"/>
            </w:tcMar>
            <w:vAlign w:val="center"/>
          </w:tcPr>
          <w:p>
            <w:pPr>
              <w:spacing w:after="0" w:line="259" w:lineRule="auto"/>
            </w:pPr>
            <w:r/>
            <w:r>
              <w:rPr>
                <w:rFonts w:ascii="Aptos" w:hAnsi="Aptos"/>
                <w:b w:val="0"/>
                <w:sz w:val="16"/>
              </w:rPr>
              <w:t>Confirmed Feature suite result.</w:t>
            </w:r>
          </w:p>
        </w:tc>
      </w:tr>
      <w:tr>
        <w:tc>
          <w:tcPr>
            <w:tcW w:type="dxa" w:w="3384"/>
            <w:tcBorders>
              <w:top w:val="single" w:sz="8" w:space="0" w:color="B7C9D6"/>
              <w:left w:val="single" w:sz="8" w:space="0" w:color="B7C9D6"/>
              <w:bottom w:val="single" w:sz="8" w:space="0" w:color="B7C9D6"/>
              <w:right w:val="single" w:sz="8" w:space="0" w:color="B7C9D6"/>
              <w:insideH w:val="single" w:sz="8" w:space="0" w:color="B7C9D6"/>
              <w:insideV w:val="single" w:sz="8" w:space="0" w:color="B7C9D6"/>
            </w:tcBorders>
            <w:tcMar>
              <w:top w:w="100" w:type="dxa"/>
              <w:start w:w="120" w:type="dxa"/>
              <w:bottom w:w="100" w:type="dxa"/>
              <w:end w:w="120" w:type="dxa"/>
            </w:tcMar>
            <w:vAlign w:val="center"/>
          </w:tcPr>
          <w:p>
            <w:pPr>
              <w:spacing w:after="0" w:line="259" w:lineRule="auto"/>
            </w:pPr>
            <w:r/>
            <w:r>
              <w:rPr>
                <w:rFonts w:ascii="Aptos" w:hAnsi="Aptos"/>
                <w:b w:val="0"/>
                <w:sz w:val="16"/>
              </w:rPr>
              <w:t>Get-Date / git rev-parse --short HEAD / git status --short</w:t>
            </w:r>
          </w:p>
        </w:tc>
        <w:tc>
          <w:tcPr>
            <w:tcW w:type="dxa" w:w="4608"/>
            <w:tcBorders>
              <w:top w:val="single" w:sz="8" w:space="0" w:color="B7C9D6"/>
              <w:left w:val="single" w:sz="8" w:space="0" w:color="B7C9D6"/>
              <w:bottom w:val="single" w:sz="8" w:space="0" w:color="B7C9D6"/>
              <w:right w:val="single" w:sz="8" w:space="0" w:color="B7C9D6"/>
              <w:insideH w:val="single" w:sz="8" w:space="0" w:color="B7C9D6"/>
              <w:insideV w:val="single" w:sz="8" w:space="0" w:color="B7C9D6"/>
            </w:tcBorders>
            <w:tcMar>
              <w:top w:w="100" w:type="dxa"/>
              <w:start w:w="120" w:type="dxa"/>
              <w:bottom w:w="100" w:type="dxa"/>
              <w:end w:w="120" w:type="dxa"/>
            </w:tcMar>
            <w:vAlign w:val="center"/>
          </w:tcPr>
          <w:p>
            <w:pPr>
              <w:spacing w:after="0" w:line="259" w:lineRule="auto"/>
            </w:pPr>
            <w:r/>
            <w:r>
              <w:rPr>
                <w:rFonts w:ascii="Aptos" w:hAnsi="Aptos"/>
                <w:b w:val="0"/>
                <w:sz w:val="16"/>
              </w:rPr>
              <w:t>Timestamp: 2026-05-07 22:00:19 +03:00. Commit: ed13a87. git status --short returned no output.</w:t>
            </w:r>
          </w:p>
        </w:tc>
        <w:tc>
          <w:tcPr>
            <w:tcW w:type="dxa" w:w="2880"/>
            <w:tcBorders>
              <w:top w:val="single" w:sz="8" w:space="0" w:color="B7C9D6"/>
              <w:left w:val="single" w:sz="8" w:space="0" w:color="B7C9D6"/>
              <w:bottom w:val="single" w:sz="8" w:space="0" w:color="B7C9D6"/>
              <w:right w:val="single" w:sz="8" w:space="0" w:color="B7C9D6"/>
              <w:insideH w:val="single" w:sz="8" w:space="0" w:color="B7C9D6"/>
              <w:insideV w:val="single" w:sz="8" w:space="0" w:color="B7C9D6"/>
            </w:tcBorders>
            <w:tcMar>
              <w:top w:w="100" w:type="dxa"/>
              <w:start w:w="120" w:type="dxa"/>
              <w:bottom w:w="100" w:type="dxa"/>
              <w:end w:w="120" w:type="dxa"/>
            </w:tcMar>
            <w:vAlign w:val="center"/>
          </w:tcPr>
          <w:p>
            <w:pPr>
              <w:spacing w:after="0" w:line="259" w:lineRule="auto"/>
            </w:pPr>
            <w:r/>
            <w:r>
              <w:rPr>
                <w:rFonts w:ascii="Aptos" w:hAnsi="Aptos"/>
                <w:b w:val="0"/>
                <w:sz w:val="16"/>
              </w:rPr>
              <w:t>Captured reproducibility metadata.</w:t>
            </w:r>
          </w:p>
        </w:tc>
      </w:tr>
    </w:tbl>
    <w:p/>
    <w:p>
      <w:pPr>
        <w:pStyle w:val="Heading1"/>
        <w:spacing w:before="240" w:after="80"/>
      </w:pPr>
      <w:r>
        <w:rPr>
          <w:rFonts w:ascii="Aptos Display" w:hAnsi="Aptos Display"/>
          <w:color w:val="1F4E79"/>
        </w:rPr>
        <w:t>4. Key Configuration Evidence</w:t>
      </w:r>
    </w:p>
    <w:p>
      <w:pPr>
        <w:spacing w:after="100" w:line="269" w:lineRule="auto"/>
      </w:pPr>
      <w:r>
        <w:rPr>
          <w:rFonts w:ascii="Aptos" w:hAnsi="Aptos"/>
          <w:sz w:val="19"/>
        </w:rPr>
        <w:t>The following configuration snippets explain why the reported percentage should be interpreted as Laravel/PHP application coverage.</w:t>
      </w:r>
    </w:p>
    <w:p>
      <w:pPr>
        <w:spacing w:before="40" w:after="120" w:line="240" w:lineRule="auto"/>
        <w:ind w:left="259" w:right="259"/>
        <w:shd w:fill="F3F6F8"/>
      </w:pPr>
      <w:r>
        <w:rPr>
          <w:rFonts w:ascii="Cascadia Mono" w:hAnsi="Cascadia Mono"/>
          <w:color w:val="1F2937"/>
          <w:sz w:val="14"/>
        </w:rPr>
        <w:t>phpunit.xml</w:t>
        <w:br/>
        <w:t>&lt;testsuite name="Unit"&gt;</w:t>
        <w:br/>
        <w:t xml:space="preserve">    &lt;directory&gt;tests/Unit&lt;/directory&gt;</w:t>
        <w:br/>
        <w:t>&lt;/testsuite&gt;</w:t>
        <w:br/>
        <w:t>&lt;testsuite name="Feature"&gt;</w:t>
        <w:br/>
        <w:t xml:space="preserve">    &lt;directory&gt;tests/Feature&lt;/directory&gt;</w:t>
        <w:br/>
        <w:t>&lt;/testsuite&gt;</w:t>
        <w:br/>
        <w:t>&lt;source&gt;</w:t>
        <w:br/>
        <w:t xml:space="preserve">    &lt;include&gt;</w:t>
        <w:br/>
        <w:t xml:space="preserve">        &lt;directory&gt;app&lt;/directory&gt;</w:t>
        <w:br/>
        <w:t xml:space="preserve">    &lt;/include&gt;</w:t>
        <w:br/>
        <w:t>&lt;/source&gt;</w:t>
      </w:r>
    </w:p>
    <w:p>
      <w:pPr>
        <w:spacing w:before="40" w:after="120" w:line="240" w:lineRule="auto"/>
        <w:ind w:left="259" w:right="259"/>
        <w:shd w:fill="F3F6F8"/>
      </w:pPr>
      <w:r>
        <w:rPr>
          <w:rFonts w:ascii="Cascadia Mono" w:hAnsi="Cascadia Mono"/>
          <w:color w:val="1F2937"/>
          <w:sz w:val="14"/>
        </w:rPr>
        <w:t>package.json</w:t>
        <w:br/>
        <w:t>"test:e2e": "playwright test --config=config/playwright/playwright.config.js",</w:t>
        <w:br/>
        <w:t>"test:e2e:php-only": "playwright test --config=config/playwright/playwright.php-only.config.js",</w:t>
        <w:br/>
        <w:t>"test:e2e:ui": "playwright test --config=config/playwright/playwright.config.js --ui",</w:t>
        <w:br/>
        <w:t>"test:e2e:headed": "playwright test --config=config/playwright/playwright.config.js --headed"</w:t>
      </w:r>
    </w:p>
    <w:p>
      <w:pPr>
        <w:pStyle w:val="Heading1"/>
        <w:spacing w:before="240" w:after="80"/>
      </w:pPr>
      <w:r>
        <w:rPr>
          <w:rFonts w:ascii="Aptos Display" w:hAnsi="Aptos Display"/>
          <w:color w:val="1F4E79"/>
        </w:rPr>
        <w:t>5. Coverage Result Evidence</w:t>
      </w:r>
    </w:p>
    <w:p>
      <w:pPr>
        <w:spacing w:after="100" w:line="269" w:lineRule="auto"/>
      </w:pPr>
      <w:r>
        <w:rPr>
          <w:rFonts w:ascii="Aptos" w:hAnsi="Aptos"/>
          <w:sz w:val="19"/>
        </w:rPr>
        <w:t>The coverage command generated a long per-file coverage report. The decision-critical output is summarized below.</w:t>
      </w:r>
    </w:p>
    <w:p>
      <w:pPr>
        <w:spacing w:before="40" w:after="120" w:line="240" w:lineRule="auto"/>
        <w:ind w:left="259" w:right="259"/>
        <w:shd w:fill="F3F6F8"/>
      </w:pPr>
      <w:r>
        <w:rPr>
          <w:rFonts w:ascii="Cascadia Mono" w:hAnsi="Cascadia Mono"/>
          <w:color w:val="1F2937"/>
          <w:sz w:val="14"/>
        </w:rPr>
        <w:t>$env:XDEBUG_MODE='coverage'; php artisan test --coverage</w:t>
        <w:br/>
        <w:br/>
        <w:t>Exit code: 0</w:t>
        <w:br/>
        <w:t>Representative result: all Unit and Feature suites passed.</w:t>
        <w:br/>
        <w:t>Coverage report tail:</w:t>
        <w:br/>
        <w:t xml:space="preserve">  View/Components\RegisterLayout .............................................. 100.0%</w:t>
        <w:br/>
        <w:t xml:space="preserve">  View/Composers\SidebarComposer ................................. 14..19, 45 / 82.4%</w:t>
        <w:br/>
        <w:t xml:space="preserve">  ------------------------------------------------------------------------------</w:t>
        <w:br/>
        <w:t xml:space="preserve">                                                                  Total: 93.3 %</w:t>
      </w:r>
    </w:p>
    <w:p>
      <w:pPr>
        <w:spacing w:after="100" w:line="269" w:lineRule="auto"/>
      </w:pPr>
      <w:r>
        <w:rPr>
          <w:rFonts w:ascii="Aptos" w:hAnsi="Aptos"/>
          <w:sz w:val="19"/>
        </w:rPr>
        <w:t>Several individual app components reached 100.0% coverage, while lower coverage was observed in selected testing-only controllers, middleware, and notification/controller paths. These per-file details do not change the aggregate conclusion; they explain how the total was formed.</w:t>
      </w:r>
    </w:p>
    <w:p>
      <w:pPr>
        <w:pStyle w:val="Heading1"/>
        <w:spacing w:before="240" w:after="80"/>
      </w:pPr>
      <w:r>
        <w:rPr>
          <w:rFonts w:ascii="Aptos Display" w:hAnsi="Aptos Display"/>
          <w:color w:val="1F4E79"/>
        </w:rPr>
        <w:t>6. Unit vs Feature Classification</w:t>
      </w:r>
    </w:p>
    <w:tbl>
      <w:tblPr>
        <w:tblStyle w:val="TableGrid"/>
        <w:tblW w:type="auto" w:w="0"/>
        <w:tblLayout w:type="fixed"/>
        <w:tblLook w:firstColumn="1" w:firstRow="1" w:lastColumn="0" w:lastRow="0" w:noHBand="0" w:noVBand="1" w:val="04A0"/>
      </w:tblPr>
      <w:tblGrid>
        <w:gridCol w:w="1704"/>
        <w:gridCol w:w="1704"/>
        <w:gridCol w:w="1704"/>
        <w:gridCol w:w="1704"/>
        <w:gridCol w:w="1704"/>
        <w:gridCol w:w="1704"/>
      </w:tblGrid>
      <w:tr>
        <w:tc>
          <w:tcPr>
            <w:tcW w:type="dxa" w:w="1152"/>
            <w:shd w:fill="1F4E79"/>
            <w:tcBorders>
              <w:top w:val="single" w:sz="8" w:space="0" w:color="B7C9D6"/>
              <w:left w:val="single" w:sz="8" w:space="0" w:color="B7C9D6"/>
              <w:bottom w:val="single" w:sz="8" w:space="0" w:color="B7C9D6"/>
              <w:right w:val="single" w:sz="8" w:space="0" w:color="B7C9D6"/>
              <w:insideH w:val="single" w:sz="8" w:space="0" w:color="B7C9D6"/>
              <w:insideV w:val="single" w:sz="8" w:space="0" w:color="B7C9D6"/>
            </w:tcBorders>
            <w:tcMar>
              <w:top w:w="100" w:type="dxa"/>
              <w:start w:w="120" w:type="dxa"/>
              <w:bottom w:w="100" w:type="dxa"/>
              <w:end w:w="120" w:type="dxa"/>
            </w:tcMar>
            <w:vAlign w:val="center"/>
          </w:tcPr>
          <w:p>
            <w:pPr>
              <w:spacing w:after="0" w:line="259" w:lineRule="auto"/>
            </w:pPr>
            <w:r/>
            <w:r>
              <w:rPr>
                <w:rFonts w:ascii="Aptos" w:hAnsi="Aptos"/>
                <w:b/>
                <w:color w:val="FFFFFF"/>
                <w:sz w:val="16"/>
              </w:rPr>
              <w:t>Category</w:t>
            </w:r>
          </w:p>
        </w:tc>
        <w:tc>
          <w:tcPr>
            <w:tcW w:type="dxa" w:w="1944"/>
            <w:shd w:fill="1F4E79"/>
            <w:tcBorders>
              <w:top w:val="single" w:sz="8" w:space="0" w:color="B7C9D6"/>
              <w:left w:val="single" w:sz="8" w:space="0" w:color="B7C9D6"/>
              <w:bottom w:val="single" w:sz="8" w:space="0" w:color="B7C9D6"/>
              <w:right w:val="single" w:sz="8" w:space="0" w:color="B7C9D6"/>
              <w:insideH w:val="single" w:sz="8" w:space="0" w:color="B7C9D6"/>
              <w:insideV w:val="single" w:sz="8" w:space="0" w:color="B7C9D6"/>
            </w:tcBorders>
            <w:tcMar>
              <w:top w:w="100" w:type="dxa"/>
              <w:start w:w="120" w:type="dxa"/>
              <w:bottom w:w="100" w:type="dxa"/>
              <w:end w:w="120" w:type="dxa"/>
            </w:tcMar>
            <w:vAlign w:val="center"/>
          </w:tcPr>
          <w:p>
            <w:pPr>
              <w:spacing w:after="0" w:line="259" w:lineRule="auto"/>
            </w:pPr>
            <w:r/>
            <w:r>
              <w:rPr>
                <w:rFonts w:ascii="Aptos" w:hAnsi="Aptos"/>
                <w:b/>
                <w:color w:val="FFFFFF"/>
                <w:sz w:val="16"/>
              </w:rPr>
              <w:t>Directory</w:t>
            </w:r>
          </w:p>
        </w:tc>
        <w:tc>
          <w:tcPr>
            <w:tcW w:type="dxa" w:w="1656"/>
            <w:shd w:fill="1F4E79"/>
            <w:tcBorders>
              <w:top w:val="single" w:sz="8" w:space="0" w:color="B7C9D6"/>
              <w:left w:val="single" w:sz="8" w:space="0" w:color="B7C9D6"/>
              <w:bottom w:val="single" w:sz="8" w:space="0" w:color="B7C9D6"/>
              <w:right w:val="single" w:sz="8" w:space="0" w:color="B7C9D6"/>
              <w:insideH w:val="single" w:sz="8" w:space="0" w:color="B7C9D6"/>
              <w:insideV w:val="single" w:sz="8" w:space="0" w:color="B7C9D6"/>
            </w:tcBorders>
            <w:tcMar>
              <w:top w:w="100" w:type="dxa"/>
              <w:start w:w="120" w:type="dxa"/>
              <w:bottom w:w="100" w:type="dxa"/>
              <w:end w:w="120" w:type="dxa"/>
            </w:tcMar>
            <w:vAlign w:val="center"/>
          </w:tcPr>
          <w:p>
            <w:pPr>
              <w:spacing w:after="0" w:line="259" w:lineRule="auto"/>
            </w:pPr>
            <w:r/>
            <w:r>
              <w:rPr>
                <w:rFonts w:ascii="Aptos" w:hAnsi="Aptos"/>
                <w:b/>
                <w:color w:val="FFFFFF"/>
                <w:sz w:val="16"/>
              </w:rPr>
              <w:t>Files detected</w:t>
            </w:r>
          </w:p>
        </w:tc>
        <w:tc>
          <w:tcPr>
            <w:tcW w:type="dxa" w:w="1728"/>
            <w:shd w:fill="1F4E79"/>
            <w:tcBorders>
              <w:top w:val="single" w:sz="8" w:space="0" w:color="B7C9D6"/>
              <w:left w:val="single" w:sz="8" w:space="0" w:color="B7C9D6"/>
              <w:bottom w:val="single" w:sz="8" w:space="0" w:color="B7C9D6"/>
              <w:right w:val="single" w:sz="8" w:space="0" w:color="B7C9D6"/>
              <w:insideH w:val="single" w:sz="8" w:space="0" w:color="B7C9D6"/>
              <w:insideV w:val="single" w:sz="8" w:space="0" w:color="B7C9D6"/>
            </w:tcBorders>
            <w:tcMar>
              <w:top w:w="100" w:type="dxa"/>
              <w:start w:w="120" w:type="dxa"/>
              <w:bottom w:w="100" w:type="dxa"/>
              <w:end w:w="120" w:type="dxa"/>
            </w:tcMar>
            <w:vAlign w:val="center"/>
          </w:tcPr>
          <w:p>
            <w:pPr>
              <w:spacing w:after="0" w:line="259" w:lineRule="auto"/>
            </w:pPr>
            <w:r/>
            <w:r>
              <w:rPr>
                <w:rFonts w:ascii="Aptos" w:hAnsi="Aptos"/>
                <w:b/>
                <w:color w:val="FFFFFF"/>
                <w:sz w:val="16"/>
              </w:rPr>
              <w:t>Tests executed</w:t>
            </w:r>
          </w:p>
        </w:tc>
        <w:tc>
          <w:tcPr>
            <w:tcW w:type="dxa" w:w="1440"/>
            <w:shd w:fill="1F4E79"/>
            <w:tcBorders>
              <w:top w:val="single" w:sz="8" w:space="0" w:color="B7C9D6"/>
              <w:left w:val="single" w:sz="8" w:space="0" w:color="B7C9D6"/>
              <w:bottom w:val="single" w:sz="8" w:space="0" w:color="B7C9D6"/>
              <w:right w:val="single" w:sz="8" w:space="0" w:color="B7C9D6"/>
              <w:insideH w:val="single" w:sz="8" w:space="0" w:color="B7C9D6"/>
              <w:insideV w:val="single" w:sz="8" w:space="0" w:color="B7C9D6"/>
            </w:tcBorders>
            <w:tcMar>
              <w:top w:w="100" w:type="dxa"/>
              <w:start w:w="120" w:type="dxa"/>
              <w:bottom w:w="100" w:type="dxa"/>
              <w:end w:w="120" w:type="dxa"/>
            </w:tcMar>
            <w:vAlign w:val="center"/>
          </w:tcPr>
          <w:p>
            <w:pPr>
              <w:spacing w:after="0" w:line="259" w:lineRule="auto"/>
            </w:pPr>
            <w:r/>
            <w:r>
              <w:rPr>
                <w:rFonts w:ascii="Aptos" w:hAnsi="Aptos"/>
                <w:b/>
                <w:color w:val="FFFFFF"/>
                <w:sz w:val="16"/>
              </w:rPr>
              <w:t>Assertions</w:t>
            </w:r>
          </w:p>
        </w:tc>
        <w:tc>
          <w:tcPr>
            <w:tcW w:type="dxa" w:w="2880"/>
            <w:shd w:fill="1F4E79"/>
            <w:tcBorders>
              <w:top w:val="single" w:sz="8" w:space="0" w:color="B7C9D6"/>
              <w:left w:val="single" w:sz="8" w:space="0" w:color="B7C9D6"/>
              <w:bottom w:val="single" w:sz="8" w:space="0" w:color="B7C9D6"/>
              <w:right w:val="single" w:sz="8" w:space="0" w:color="B7C9D6"/>
              <w:insideH w:val="single" w:sz="8" w:space="0" w:color="B7C9D6"/>
              <w:insideV w:val="single" w:sz="8" w:space="0" w:color="B7C9D6"/>
            </w:tcBorders>
            <w:tcMar>
              <w:top w:w="100" w:type="dxa"/>
              <w:start w:w="120" w:type="dxa"/>
              <w:bottom w:w="100" w:type="dxa"/>
              <w:end w:w="120" w:type="dxa"/>
            </w:tcMar>
            <w:vAlign w:val="center"/>
          </w:tcPr>
          <w:p>
            <w:pPr>
              <w:spacing w:after="0" w:line="259" w:lineRule="auto"/>
            </w:pPr>
            <w:r/>
            <w:r>
              <w:rPr>
                <w:rFonts w:ascii="Aptos" w:hAnsi="Aptos"/>
                <w:b/>
                <w:color w:val="FFFFFF"/>
                <w:sz w:val="16"/>
              </w:rPr>
              <w:t>Result</w:t>
            </w:r>
          </w:p>
        </w:tc>
      </w:tr>
      <w:tr>
        <w:tc>
          <w:tcPr>
            <w:tcW w:type="dxa" w:w="1152"/>
            <w:tcBorders>
              <w:top w:val="single" w:sz="8" w:space="0" w:color="B7C9D6"/>
              <w:left w:val="single" w:sz="8" w:space="0" w:color="B7C9D6"/>
              <w:bottom w:val="single" w:sz="8" w:space="0" w:color="B7C9D6"/>
              <w:right w:val="single" w:sz="8" w:space="0" w:color="B7C9D6"/>
              <w:insideH w:val="single" w:sz="8" w:space="0" w:color="B7C9D6"/>
              <w:insideV w:val="single" w:sz="8" w:space="0" w:color="B7C9D6"/>
            </w:tcBorders>
            <w:tcMar>
              <w:top w:w="100" w:type="dxa"/>
              <w:start w:w="120" w:type="dxa"/>
              <w:bottom w:w="100" w:type="dxa"/>
              <w:end w:w="120" w:type="dxa"/>
            </w:tcMar>
            <w:vAlign w:val="center"/>
          </w:tcPr>
          <w:p>
            <w:pPr>
              <w:spacing w:after="0" w:line="259" w:lineRule="auto"/>
            </w:pPr>
            <w:r/>
            <w:r>
              <w:rPr>
                <w:rFonts w:ascii="Aptos" w:hAnsi="Aptos"/>
                <w:b w:val="0"/>
                <w:sz w:val="16"/>
              </w:rPr>
              <w:t>Unit</w:t>
            </w:r>
          </w:p>
        </w:tc>
        <w:tc>
          <w:tcPr>
            <w:tcW w:type="dxa" w:w="1944"/>
            <w:tcBorders>
              <w:top w:val="single" w:sz="8" w:space="0" w:color="B7C9D6"/>
              <w:left w:val="single" w:sz="8" w:space="0" w:color="B7C9D6"/>
              <w:bottom w:val="single" w:sz="8" w:space="0" w:color="B7C9D6"/>
              <w:right w:val="single" w:sz="8" w:space="0" w:color="B7C9D6"/>
              <w:insideH w:val="single" w:sz="8" w:space="0" w:color="B7C9D6"/>
              <w:insideV w:val="single" w:sz="8" w:space="0" w:color="B7C9D6"/>
            </w:tcBorders>
            <w:tcMar>
              <w:top w:w="100" w:type="dxa"/>
              <w:start w:w="120" w:type="dxa"/>
              <w:bottom w:w="100" w:type="dxa"/>
              <w:end w:w="120" w:type="dxa"/>
            </w:tcMar>
            <w:vAlign w:val="center"/>
          </w:tcPr>
          <w:p>
            <w:pPr>
              <w:spacing w:after="0" w:line="259" w:lineRule="auto"/>
              <w:jc w:val="center"/>
            </w:pPr>
            <w:r/>
            <w:r>
              <w:rPr>
                <w:rFonts w:ascii="Aptos" w:hAnsi="Aptos"/>
                <w:b w:val="0"/>
                <w:sz w:val="16"/>
              </w:rPr>
              <w:t>tests/Unit</w:t>
            </w:r>
          </w:p>
        </w:tc>
        <w:tc>
          <w:tcPr>
            <w:tcW w:type="dxa" w:w="1656"/>
            <w:tcBorders>
              <w:top w:val="single" w:sz="8" w:space="0" w:color="B7C9D6"/>
              <w:left w:val="single" w:sz="8" w:space="0" w:color="B7C9D6"/>
              <w:bottom w:val="single" w:sz="8" w:space="0" w:color="B7C9D6"/>
              <w:right w:val="single" w:sz="8" w:space="0" w:color="B7C9D6"/>
              <w:insideH w:val="single" w:sz="8" w:space="0" w:color="B7C9D6"/>
              <w:insideV w:val="single" w:sz="8" w:space="0" w:color="B7C9D6"/>
            </w:tcBorders>
            <w:tcMar>
              <w:top w:w="100" w:type="dxa"/>
              <w:start w:w="120" w:type="dxa"/>
              <w:bottom w:w="100" w:type="dxa"/>
              <w:end w:w="120" w:type="dxa"/>
            </w:tcMar>
            <w:vAlign w:val="center"/>
          </w:tcPr>
          <w:p>
            <w:pPr>
              <w:spacing w:after="0" w:line="259" w:lineRule="auto"/>
              <w:jc w:val="center"/>
            </w:pPr>
            <w:r/>
            <w:r>
              <w:rPr>
                <w:rFonts w:ascii="Aptos" w:hAnsi="Aptos"/>
                <w:b w:val="0"/>
                <w:sz w:val="16"/>
              </w:rPr>
              <w:t>46 PHP files</w:t>
            </w:r>
          </w:p>
        </w:tc>
        <w:tc>
          <w:tcPr>
            <w:tcW w:type="dxa" w:w="1728"/>
            <w:tcBorders>
              <w:top w:val="single" w:sz="8" w:space="0" w:color="B7C9D6"/>
              <w:left w:val="single" w:sz="8" w:space="0" w:color="B7C9D6"/>
              <w:bottom w:val="single" w:sz="8" w:space="0" w:color="B7C9D6"/>
              <w:right w:val="single" w:sz="8" w:space="0" w:color="B7C9D6"/>
              <w:insideH w:val="single" w:sz="8" w:space="0" w:color="B7C9D6"/>
              <w:insideV w:val="single" w:sz="8" w:space="0" w:color="B7C9D6"/>
            </w:tcBorders>
            <w:tcMar>
              <w:top w:w="100" w:type="dxa"/>
              <w:start w:w="120" w:type="dxa"/>
              <w:bottom w:w="100" w:type="dxa"/>
              <w:end w:w="120" w:type="dxa"/>
            </w:tcMar>
            <w:vAlign w:val="center"/>
          </w:tcPr>
          <w:p>
            <w:pPr>
              <w:spacing w:after="0" w:line="259" w:lineRule="auto"/>
              <w:jc w:val="center"/>
            </w:pPr>
            <w:r/>
            <w:r>
              <w:rPr>
                <w:rFonts w:ascii="Aptos" w:hAnsi="Aptos"/>
                <w:b w:val="0"/>
                <w:sz w:val="16"/>
              </w:rPr>
              <w:t>243</w:t>
            </w:r>
          </w:p>
        </w:tc>
        <w:tc>
          <w:tcPr>
            <w:tcW w:type="dxa" w:w="1440"/>
            <w:tcBorders>
              <w:top w:val="single" w:sz="8" w:space="0" w:color="B7C9D6"/>
              <w:left w:val="single" w:sz="8" w:space="0" w:color="B7C9D6"/>
              <w:bottom w:val="single" w:sz="8" w:space="0" w:color="B7C9D6"/>
              <w:right w:val="single" w:sz="8" w:space="0" w:color="B7C9D6"/>
              <w:insideH w:val="single" w:sz="8" w:space="0" w:color="B7C9D6"/>
              <w:insideV w:val="single" w:sz="8" w:space="0" w:color="B7C9D6"/>
            </w:tcBorders>
            <w:tcMar>
              <w:top w:w="100" w:type="dxa"/>
              <w:start w:w="120" w:type="dxa"/>
              <w:bottom w:w="100" w:type="dxa"/>
              <w:end w:w="120" w:type="dxa"/>
            </w:tcMar>
            <w:vAlign w:val="center"/>
          </w:tcPr>
          <w:p>
            <w:pPr>
              <w:spacing w:after="0" w:line="259" w:lineRule="auto"/>
              <w:jc w:val="center"/>
            </w:pPr>
            <w:r/>
            <w:r>
              <w:rPr>
                <w:rFonts w:ascii="Aptos" w:hAnsi="Aptos"/>
                <w:b w:val="0"/>
                <w:sz w:val="16"/>
              </w:rPr>
              <w:t>719</w:t>
            </w:r>
          </w:p>
        </w:tc>
        <w:tc>
          <w:tcPr>
            <w:tcW w:type="dxa" w:w="2880"/>
            <w:tcBorders>
              <w:top w:val="single" w:sz="8" w:space="0" w:color="B7C9D6"/>
              <w:left w:val="single" w:sz="8" w:space="0" w:color="B7C9D6"/>
              <w:bottom w:val="single" w:sz="8" w:space="0" w:color="B7C9D6"/>
              <w:right w:val="single" w:sz="8" w:space="0" w:color="B7C9D6"/>
              <w:insideH w:val="single" w:sz="8" w:space="0" w:color="B7C9D6"/>
              <w:insideV w:val="single" w:sz="8" w:space="0" w:color="B7C9D6"/>
            </w:tcBorders>
            <w:tcMar>
              <w:top w:w="100" w:type="dxa"/>
              <w:start w:w="120" w:type="dxa"/>
              <w:bottom w:w="100" w:type="dxa"/>
              <w:end w:w="120" w:type="dxa"/>
            </w:tcMar>
            <w:vAlign w:val="center"/>
          </w:tcPr>
          <w:p>
            <w:pPr>
              <w:spacing w:after="0" w:line="259" w:lineRule="auto"/>
              <w:jc w:val="center"/>
            </w:pPr>
            <w:r/>
            <w:r>
              <w:rPr>
                <w:rFonts w:ascii="Aptos" w:hAnsi="Aptos"/>
                <w:b w:val="0"/>
                <w:sz w:val="16"/>
              </w:rPr>
              <w:t>Passed</w:t>
            </w:r>
          </w:p>
        </w:tc>
      </w:tr>
      <w:tr>
        <w:tc>
          <w:tcPr>
            <w:tcW w:type="dxa" w:w="1152"/>
            <w:tcBorders>
              <w:top w:val="single" w:sz="8" w:space="0" w:color="B7C9D6"/>
              <w:left w:val="single" w:sz="8" w:space="0" w:color="B7C9D6"/>
              <w:bottom w:val="single" w:sz="8" w:space="0" w:color="B7C9D6"/>
              <w:right w:val="single" w:sz="8" w:space="0" w:color="B7C9D6"/>
              <w:insideH w:val="single" w:sz="8" w:space="0" w:color="B7C9D6"/>
              <w:insideV w:val="single" w:sz="8" w:space="0" w:color="B7C9D6"/>
            </w:tcBorders>
            <w:tcMar>
              <w:top w:w="100" w:type="dxa"/>
              <w:start w:w="120" w:type="dxa"/>
              <w:bottom w:w="100" w:type="dxa"/>
              <w:end w:w="120" w:type="dxa"/>
            </w:tcMar>
            <w:vAlign w:val="center"/>
          </w:tcPr>
          <w:p>
            <w:pPr>
              <w:spacing w:after="0" w:line="259" w:lineRule="auto"/>
            </w:pPr>
            <w:r/>
            <w:r>
              <w:rPr>
                <w:rFonts w:ascii="Aptos" w:hAnsi="Aptos"/>
                <w:b w:val="0"/>
                <w:sz w:val="16"/>
              </w:rPr>
              <w:t>Feature</w:t>
            </w:r>
          </w:p>
        </w:tc>
        <w:tc>
          <w:tcPr>
            <w:tcW w:type="dxa" w:w="1944"/>
            <w:tcBorders>
              <w:top w:val="single" w:sz="8" w:space="0" w:color="B7C9D6"/>
              <w:left w:val="single" w:sz="8" w:space="0" w:color="B7C9D6"/>
              <w:bottom w:val="single" w:sz="8" w:space="0" w:color="B7C9D6"/>
              <w:right w:val="single" w:sz="8" w:space="0" w:color="B7C9D6"/>
              <w:insideH w:val="single" w:sz="8" w:space="0" w:color="B7C9D6"/>
              <w:insideV w:val="single" w:sz="8" w:space="0" w:color="B7C9D6"/>
            </w:tcBorders>
            <w:tcMar>
              <w:top w:w="100" w:type="dxa"/>
              <w:start w:w="120" w:type="dxa"/>
              <w:bottom w:w="100" w:type="dxa"/>
              <w:end w:w="120" w:type="dxa"/>
            </w:tcMar>
            <w:vAlign w:val="center"/>
          </w:tcPr>
          <w:p>
            <w:pPr>
              <w:spacing w:after="0" w:line="259" w:lineRule="auto"/>
              <w:jc w:val="center"/>
            </w:pPr>
            <w:r/>
            <w:r>
              <w:rPr>
                <w:rFonts w:ascii="Aptos" w:hAnsi="Aptos"/>
                <w:b w:val="0"/>
                <w:sz w:val="16"/>
              </w:rPr>
              <w:t>tests/Feature</w:t>
            </w:r>
          </w:p>
        </w:tc>
        <w:tc>
          <w:tcPr>
            <w:tcW w:type="dxa" w:w="1656"/>
            <w:tcBorders>
              <w:top w:val="single" w:sz="8" w:space="0" w:color="B7C9D6"/>
              <w:left w:val="single" w:sz="8" w:space="0" w:color="B7C9D6"/>
              <w:bottom w:val="single" w:sz="8" w:space="0" w:color="B7C9D6"/>
              <w:right w:val="single" w:sz="8" w:space="0" w:color="B7C9D6"/>
              <w:insideH w:val="single" w:sz="8" w:space="0" w:color="B7C9D6"/>
              <w:insideV w:val="single" w:sz="8" w:space="0" w:color="B7C9D6"/>
            </w:tcBorders>
            <w:tcMar>
              <w:top w:w="100" w:type="dxa"/>
              <w:start w:w="120" w:type="dxa"/>
              <w:bottom w:w="100" w:type="dxa"/>
              <w:end w:w="120" w:type="dxa"/>
            </w:tcMar>
            <w:vAlign w:val="center"/>
          </w:tcPr>
          <w:p>
            <w:pPr>
              <w:spacing w:after="0" w:line="259" w:lineRule="auto"/>
              <w:jc w:val="center"/>
            </w:pPr>
            <w:r/>
            <w:r>
              <w:rPr>
                <w:rFonts w:ascii="Aptos" w:hAnsi="Aptos"/>
                <w:b w:val="0"/>
                <w:sz w:val="16"/>
              </w:rPr>
              <w:t>70 PHP files</w:t>
            </w:r>
          </w:p>
        </w:tc>
        <w:tc>
          <w:tcPr>
            <w:tcW w:type="dxa" w:w="1728"/>
            <w:tcBorders>
              <w:top w:val="single" w:sz="8" w:space="0" w:color="B7C9D6"/>
              <w:left w:val="single" w:sz="8" w:space="0" w:color="B7C9D6"/>
              <w:bottom w:val="single" w:sz="8" w:space="0" w:color="B7C9D6"/>
              <w:right w:val="single" w:sz="8" w:space="0" w:color="B7C9D6"/>
              <w:insideH w:val="single" w:sz="8" w:space="0" w:color="B7C9D6"/>
              <w:insideV w:val="single" w:sz="8" w:space="0" w:color="B7C9D6"/>
            </w:tcBorders>
            <w:tcMar>
              <w:top w:w="100" w:type="dxa"/>
              <w:start w:w="120" w:type="dxa"/>
              <w:bottom w:w="100" w:type="dxa"/>
              <w:end w:w="120" w:type="dxa"/>
            </w:tcMar>
            <w:vAlign w:val="center"/>
          </w:tcPr>
          <w:p>
            <w:pPr>
              <w:spacing w:after="0" w:line="259" w:lineRule="auto"/>
              <w:jc w:val="center"/>
            </w:pPr>
            <w:r/>
            <w:r>
              <w:rPr>
                <w:rFonts w:ascii="Aptos" w:hAnsi="Aptos"/>
                <w:b w:val="0"/>
                <w:sz w:val="16"/>
              </w:rPr>
              <w:t>541</w:t>
            </w:r>
          </w:p>
        </w:tc>
        <w:tc>
          <w:tcPr>
            <w:tcW w:type="dxa" w:w="1440"/>
            <w:tcBorders>
              <w:top w:val="single" w:sz="8" w:space="0" w:color="B7C9D6"/>
              <w:left w:val="single" w:sz="8" w:space="0" w:color="B7C9D6"/>
              <w:bottom w:val="single" w:sz="8" w:space="0" w:color="B7C9D6"/>
              <w:right w:val="single" w:sz="8" w:space="0" w:color="B7C9D6"/>
              <w:insideH w:val="single" w:sz="8" w:space="0" w:color="B7C9D6"/>
              <w:insideV w:val="single" w:sz="8" w:space="0" w:color="B7C9D6"/>
            </w:tcBorders>
            <w:tcMar>
              <w:top w:w="100" w:type="dxa"/>
              <w:start w:w="120" w:type="dxa"/>
              <w:bottom w:w="100" w:type="dxa"/>
              <w:end w:w="120" w:type="dxa"/>
            </w:tcMar>
            <w:vAlign w:val="center"/>
          </w:tcPr>
          <w:p>
            <w:pPr>
              <w:spacing w:after="0" w:line="259" w:lineRule="auto"/>
              <w:jc w:val="center"/>
            </w:pPr>
            <w:r/>
            <w:r>
              <w:rPr>
                <w:rFonts w:ascii="Aptos" w:hAnsi="Aptos"/>
                <w:b w:val="0"/>
                <w:sz w:val="16"/>
              </w:rPr>
              <w:t>1,939</w:t>
            </w:r>
          </w:p>
        </w:tc>
        <w:tc>
          <w:tcPr>
            <w:tcW w:type="dxa" w:w="2880"/>
            <w:tcBorders>
              <w:top w:val="single" w:sz="8" w:space="0" w:color="B7C9D6"/>
              <w:left w:val="single" w:sz="8" w:space="0" w:color="B7C9D6"/>
              <w:bottom w:val="single" w:sz="8" w:space="0" w:color="B7C9D6"/>
              <w:right w:val="single" w:sz="8" w:space="0" w:color="B7C9D6"/>
              <w:insideH w:val="single" w:sz="8" w:space="0" w:color="B7C9D6"/>
              <w:insideV w:val="single" w:sz="8" w:space="0" w:color="B7C9D6"/>
            </w:tcBorders>
            <w:tcMar>
              <w:top w:w="100" w:type="dxa"/>
              <w:start w:w="120" w:type="dxa"/>
              <w:bottom w:w="100" w:type="dxa"/>
              <w:end w:w="120" w:type="dxa"/>
            </w:tcMar>
            <w:vAlign w:val="center"/>
          </w:tcPr>
          <w:p>
            <w:pPr>
              <w:spacing w:after="0" w:line="259" w:lineRule="auto"/>
              <w:jc w:val="center"/>
            </w:pPr>
            <w:r/>
            <w:r>
              <w:rPr>
                <w:rFonts w:ascii="Aptos" w:hAnsi="Aptos"/>
                <w:b w:val="0"/>
                <w:sz w:val="16"/>
              </w:rPr>
              <w:t>Passed</w:t>
            </w:r>
          </w:p>
        </w:tc>
      </w:tr>
      <w:tr>
        <w:tc>
          <w:tcPr>
            <w:tcW w:type="dxa" w:w="1152"/>
            <w:tcBorders>
              <w:top w:val="single" w:sz="8" w:space="0" w:color="B7C9D6"/>
              <w:left w:val="single" w:sz="8" w:space="0" w:color="B7C9D6"/>
              <w:bottom w:val="single" w:sz="8" w:space="0" w:color="B7C9D6"/>
              <w:right w:val="single" w:sz="8" w:space="0" w:color="B7C9D6"/>
              <w:insideH w:val="single" w:sz="8" w:space="0" w:color="B7C9D6"/>
              <w:insideV w:val="single" w:sz="8" w:space="0" w:color="B7C9D6"/>
            </w:tcBorders>
            <w:tcMar>
              <w:top w:w="100" w:type="dxa"/>
              <w:start w:w="120" w:type="dxa"/>
              <w:bottom w:w="100" w:type="dxa"/>
              <w:end w:w="120" w:type="dxa"/>
            </w:tcMar>
            <w:vAlign w:val="center"/>
          </w:tcPr>
          <w:p>
            <w:pPr>
              <w:spacing w:after="0" w:line="259" w:lineRule="auto"/>
            </w:pPr>
            <w:r/>
            <w:r>
              <w:rPr>
                <w:rFonts w:ascii="Aptos" w:hAnsi="Aptos"/>
                <w:b w:val="0"/>
                <w:sz w:val="16"/>
              </w:rPr>
              <w:t>E2E</w:t>
            </w:r>
          </w:p>
        </w:tc>
        <w:tc>
          <w:tcPr>
            <w:tcW w:type="dxa" w:w="1944"/>
            <w:tcBorders>
              <w:top w:val="single" w:sz="8" w:space="0" w:color="B7C9D6"/>
              <w:left w:val="single" w:sz="8" w:space="0" w:color="B7C9D6"/>
              <w:bottom w:val="single" w:sz="8" w:space="0" w:color="B7C9D6"/>
              <w:right w:val="single" w:sz="8" w:space="0" w:color="B7C9D6"/>
              <w:insideH w:val="single" w:sz="8" w:space="0" w:color="B7C9D6"/>
              <w:insideV w:val="single" w:sz="8" w:space="0" w:color="B7C9D6"/>
            </w:tcBorders>
            <w:tcMar>
              <w:top w:w="100" w:type="dxa"/>
              <w:start w:w="120" w:type="dxa"/>
              <w:bottom w:w="100" w:type="dxa"/>
              <w:end w:w="120" w:type="dxa"/>
            </w:tcMar>
            <w:vAlign w:val="center"/>
          </w:tcPr>
          <w:p>
            <w:pPr>
              <w:spacing w:after="0" w:line="259" w:lineRule="auto"/>
              <w:jc w:val="center"/>
            </w:pPr>
            <w:r/>
            <w:r>
              <w:rPr>
                <w:rFonts w:ascii="Aptos" w:hAnsi="Aptos"/>
                <w:b w:val="0"/>
                <w:sz w:val="16"/>
              </w:rPr>
              <w:t>tests/e2e</w:t>
            </w:r>
          </w:p>
        </w:tc>
        <w:tc>
          <w:tcPr>
            <w:tcW w:type="dxa" w:w="1656"/>
            <w:tcBorders>
              <w:top w:val="single" w:sz="8" w:space="0" w:color="B7C9D6"/>
              <w:left w:val="single" w:sz="8" w:space="0" w:color="B7C9D6"/>
              <w:bottom w:val="single" w:sz="8" w:space="0" w:color="B7C9D6"/>
              <w:right w:val="single" w:sz="8" w:space="0" w:color="B7C9D6"/>
              <w:insideH w:val="single" w:sz="8" w:space="0" w:color="B7C9D6"/>
              <w:insideV w:val="single" w:sz="8" w:space="0" w:color="B7C9D6"/>
            </w:tcBorders>
            <w:tcMar>
              <w:top w:w="100" w:type="dxa"/>
              <w:start w:w="120" w:type="dxa"/>
              <w:bottom w:w="100" w:type="dxa"/>
              <w:end w:w="120" w:type="dxa"/>
            </w:tcMar>
            <w:vAlign w:val="center"/>
          </w:tcPr>
          <w:p>
            <w:pPr>
              <w:spacing w:after="0" w:line="259" w:lineRule="auto"/>
              <w:jc w:val="center"/>
            </w:pPr>
            <w:r/>
            <w:r>
              <w:rPr>
                <w:rFonts w:ascii="Aptos" w:hAnsi="Aptos"/>
                <w:b w:val="0"/>
                <w:sz w:val="16"/>
              </w:rPr>
              <w:t>5 JS files</w:t>
            </w:r>
          </w:p>
        </w:tc>
        <w:tc>
          <w:tcPr>
            <w:tcW w:type="dxa" w:w="1728"/>
            <w:tcBorders>
              <w:top w:val="single" w:sz="8" w:space="0" w:color="B7C9D6"/>
              <w:left w:val="single" w:sz="8" w:space="0" w:color="B7C9D6"/>
              <w:bottom w:val="single" w:sz="8" w:space="0" w:color="B7C9D6"/>
              <w:right w:val="single" w:sz="8" w:space="0" w:color="B7C9D6"/>
              <w:insideH w:val="single" w:sz="8" w:space="0" w:color="B7C9D6"/>
              <w:insideV w:val="single" w:sz="8" w:space="0" w:color="B7C9D6"/>
            </w:tcBorders>
            <w:tcMar>
              <w:top w:w="100" w:type="dxa"/>
              <w:start w:w="120" w:type="dxa"/>
              <w:bottom w:w="100" w:type="dxa"/>
              <w:end w:w="120" w:type="dxa"/>
            </w:tcMar>
            <w:vAlign w:val="center"/>
          </w:tcPr>
          <w:p>
            <w:pPr>
              <w:spacing w:after="0" w:line="259" w:lineRule="auto"/>
            </w:pPr>
            <w:r/>
            <w:r>
              <w:rPr>
                <w:rFonts w:ascii="Aptos" w:hAnsi="Aptos"/>
                <w:b w:val="0"/>
                <w:sz w:val="16"/>
              </w:rPr>
              <w:t>Not run in PHPUnit</w:t>
            </w:r>
          </w:p>
        </w:tc>
        <w:tc>
          <w:tcPr>
            <w:tcW w:type="dxa" w:w="1440"/>
            <w:tcBorders>
              <w:top w:val="single" w:sz="8" w:space="0" w:color="B7C9D6"/>
              <w:left w:val="single" w:sz="8" w:space="0" w:color="B7C9D6"/>
              <w:bottom w:val="single" w:sz="8" w:space="0" w:color="B7C9D6"/>
              <w:right w:val="single" w:sz="8" w:space="0" w:color="B7C9D6"/>
              <w:insideH w:val="single" w:sz="8" w:space="0" w:color="B7C9D6"/>
              <w:insideV w:val="single" w:sz="8" w:space="0" w:color="B7C9D6"/>
            </w:tcBorders>
            <w:tcMar>
              <w:top w:w="100" w:type="dxa"/>
              <w:start w:w="120" w:type="dxa"/>
              <w:bottom w:w="100" w:type="dxa"/>
              <w:end w:w="120" w:type="dxa"/>
            </w:tcMar>
            <w:vAlign w:val="center"/>
          </w:tcPr>
          <w:p>
            <w:pPr>
              <w:spacing w:after="0" w:line="259" w:lineRule="auto"/>
              <w:jc w:val="center"/>
            </w:pPr>
            <w:r/>
            <w:r>
              <w:rPr>
                <w:rFonts w:ascii="Aptos" w:hAnsi="Aptos"/>
                <w:b w:val="0"/>
                <w:sz w:val="16"/>
              </w:rPr>
              <w:t>N/A</w:t>
            </w:r>
          </w:p>
        </w:tc>
        <w:tc>
          <w:tcPr>
            <w:tcW w:type="dxa" w:w="2880"/>
            <w:tcBorders>
              <w:top w:val="single" w:sz="8" w:space="0" w:color="B7C9D6"/>
              <w:left w:val="single" w:sz="8" w:space="0" w:color="B7C9D6"/>
              <w:bottom w:val="single" w:sz="8" w:space="0" w:color="B7C9D6"/>
              <w:right w:val="single" w:sz="8" w:space="0" w:color="B7C9D6"/>
              <w:insideH w:val="single" w:sz="8" w:space="0" w:color="B7C9D6"/>
              <w:insideV w:val="single" w:sz="8" w:space="0" w:color="B7C9D6"/>
            </w:tcBorders>
            <w:tcMar>
              <w:top w:w="100" w:type="dxa"/>
              <w:start w:w="120" w:type="dxa"/>
              <w:bottom w:w="100" w:type="dxa"/>
              <w:end w:w="120" w:type="dxa"/>
            </w:tcMar>
            <w:vAlign w:val="center"/>
          </w:tcPr>
          <w:p>
            <w:pPr>
              <w:spacing w:after="0" w:line="259" w:lineRule="auto"/>
            </w:pPr>
            <w:r/>
            <w:r>
              <w:rPr>
                <w:rFonts w:ascii="Aptos" w:hAnsi="Aptos"/>
                <w:b w:val="0"/>
                <w:sz w:val="16"/>
              </w:rPr>
              <w:t>Separate Playwright layer</w:t>
            </w:r>
          </w:p>
        </w:tc>
      </w:tr>
    </w:tbl>
    <w:p/>
    <w:p>
      <w:pPr>
        <w:spacing w:after="100" w:line="269" w:lineRule="auto"/>
      </w:pPr>
      <w:r>
        <w:rPr>
          <w:rFonts w:ascii="Aptos" w:hAnsi="Aptos"/>
          <w:sz w:val="19"/>
        </w:rPr>
        <w:t>The PHP test suite is therefore not only Unit tests or only Feature tests. It contains both, with the majority of executed PHP tests classified as Feature tests.</w:t>
      </w:r>
    </w:p>
    <w:p>
      <w:pPr>
        <w:pStyle w:val="Heading1"/>
        <w:spacing w:before="240" w:after="80"/>
      </w:pPr>
      <w:r>
        <w:rPr>
          <w:rFonts w:ascii="Aptos Display" w:hAnsi="Aptos Display"/>
          <w:color w:val="1F4E79"/>
        </w:rPr>
        <w:t>7. Professional Judgment</w:t>
      </w:r>
    </w:p>
    <w:tbl>
      <w:tblPr>
        <w:tblW w:type="auto" w:w="0"/>
        <w:tblLook w:firstColumn="1" w:firstRow="1" w:lastColumn="0" w:lastRow="0" w:noHBand="0" w:noVBand="1" w:val="04A0"/>
      </w:tblPr>
      <w:tblGrid>
        <w:gridCol w:w="10224"/>
      </w:tblGrid>
      <w:tr>
        <w:tc>
          <w:tcPr>
            <w:tcW w:type="dxa" w:w="10224"/>
            <w:shd w:fill="E2F0D9"/>
            <w:tcBorders>
              <w:top w:val="single" w:sz="8" w:space="0" w:color="B7C9D6"/>
              <w:left w:val="single" w:sz="8" w:space="0" w:color="B7C9D6"/>
              <w:bottom w:val="single" w:sz="8" w:space="0" w:color="B7C9D6"/>
              <w:right w:val="single" w:sz="8" w:space="0" w:color="B7C9D6"/>
              <w:insideH w:val="single" w:sz="8" w:space="0" w:color="B7C9D6"/>
              <w:insideV w:val="single" w:sz="8" w:space="0" w:color="B7C9D6"/>
            </w:tcBorders>
            <w:tcMar>
              <w:top w:w="140" w:type="dxa"/>
              <w:start w:w="180" w:type="dxa"/>
              <w:bottom w:w="140" w:type="dxa"/>
              <w:end w:w="180" w:type="dxa"/>
            </w:tcMar>
          </w:tcPr>
          <w:p>
            <w:pPr>
              <w:spacing w:after="60"/>
            </w:pPr>
            <w:r>
              <w:rPr>
                <w:rFonts w:ascii="Aptos" w:hAnsi="Aptos"/>
                <w:b/>
                <w:color w:val="1F4E79"/>
                <w:sz w:val="20"/>
              </w:rPr>
              <w:t>Conclusion</w:t>
            </w:r>
          </w:p>
          <w:p>
            <w:pPr>
              <w:spacing w:after="0" w:line="264" w:lineRule="auto"/>
            </w:pPr>
            <w:r>
              <w:rPr>
                <w:rFonts w:ascii="Aptos" w:hAnsi="Aptos"/>
                <w:sz w:val="18"/>
              </w:rPr>
              <w:t>The project has strong PHP application test coverage at 93.3%, measured against the Laravel app/ source tree. Both Unit and Feature suites are present and passing. The result is credible because the coverage driver was confirmed, the coverage command succeeded, and independent compact suite runs reproduced the passing test counts.</w:t>
            </w:r>
          </w:p>
        </w:tc>
      </w:tr>
    </w:tbl>
    <w:p/>
    <w:p>
      <w:pPr>
        <w:spacing w:after="100" w:line="269" w:lineRule="auto"/>
      </w:pPr>
      <w:r>
        <w:rPr>
          <w:rFonts w:ascii="Aptos" w:hAnsi="Aptos"/>
          <w:sz w:val="19"/>
        </w:rPr>
        <w:t>For reporting precision, state the result as: 'PHPUnit coverage for the Laravel application source under app/ is 93.3%. The PHPUnit suite consists of 243 Unit tests and 541 Feature tests, all passing. A separate Playwright E2E test layer exists but is not included in this coverage percentage.'</w:t>
      </w:r>
    </w:p>
    <w:p>
      <w:pPr>
        <w:pStyle w:val="Heading1"/>
        <w:spacing w:before="240" w:after="80"/>
      </w:pPr>
      <w:r>
        <w:rPr>
          <w:rFonts w:ascii="Aptos Display" w:hAnsi="Aptos Display"/>
          <w:color w:val="1F4E79"/>
        </w:rPr>
        <w:t>8. Limitations and Recommendations</w:t>
      </w:r>
    </w:p>
    <w:tbl>
      <w:tblPr>
        <w:tblStyle w:val="TableGrid"/>
        <w:tblW w:type="auto" w:w="0"/>
        <w:tblLayout w:type="fixed"/>
        <w:tblLook w:firstColumn="1" w:firstRow="1" w:lastColumn="0" w:lastRow="0" w:noHBand="0" w:noVBand="1" w:val="04A0"/>
      </w:tblPr>
      <w:tblGrid>
        <w:gridCol w:w="3408"/>
        <w:gridCol w:w="3408"/>
        <w:gridCol w:w="3408"/>
      </w:tblGrid>
      <w:tr>
        <w:tc>
          <w:tcPr>
            <w:tcW w:type="dxa" w:w="2160"/>
            <w:shd w:fill="1F4E79"/>
            <w:tcBorders>
              <w:top w:val="single" w:sz="8" w:space="0" w:color="B7C9D6"/>
              <w:left w:val="single" w:sz="8" w:space="0" w:color="B7C9D6"/>
              <w:bottom w:val="single" w:sz="8" w:space="0" w:color="B7C9D6"/>
              <w:right w:val="single" w:sz="8" w:space="0" w:color="B7C9D6"/>
              <w:insideH w:val="single" w:sz="8" w:space="0" w:color="B7C9D6"/>
              <w:insideV w:val="single" w:sz="8" w:space="0" w:color="B7C9D6"/>
            </w:tcBorders>
            <w:tcMar>
              <w:top w:w="100" w:type="dxa"/>
              <w:start w:w="120" w:type="dxa"/>
              <w:bottom w:w="100" w:type="dxa"/>
              <w:end w:w="120" w:type="dxa"/>
            </w:tcMar>
            <w:vAlign w:val="center"/>
          </w:tcPr>
          <w:p>
            <w:pPr>
              <w:spacing w:after="0" w:line="259" w:lineRule="auto"/>
            </w:pPr>
            <w:r/>
            <w:r>
              <w:rPr>
                <w:rFonts w:ascii="Aptos" w:hAnsi="Aptos"/>
                <w:b/>
                <w:color w:val="FFFFFF"/>
                <w:sz w:val="16"/>
              </w:rPr>
              <w:t>Point</w:t>
            </w:r>
          </w:p>
        </w:tc>
        <w:tc>
          <w:tcPr>
            <w:tcW w:type="dxa" w:w="3744"/>
            <w:shd w:fill="1F4E79"/>
            <w:tcBorders>
              <w:top w:val="single" w:sz="8" w:space="0" w:color="B7C9D6"/>
              <w:left w:val="single" w:sz="8" w:space="0" w:color="B7C9D6"/>
              <w:bottom w:val="single" w:sz="8" w:space="0" w:color="B7C9D6"/>
              <w:right w:val="single" w:sz="8" w:space="0" w:color="B7C9D6"/>
              <w:insideH w:val="single" w:sz="8" w:space="0" w:color="B7C9D6"/>
              <w:insideV w:val="single" w:sz="8" w:space="0" w:color="B7C9D6"/>
            </w:tcBorders>
            <w:tcMar>
              <w:top w:w="100" w:type="dxa"/>
              <w:start w:w="120" w:type="dxa"/>
              <w:bottom w:w="100" w:type="dxa"/>
              <w:end w:w="120" w:type="dxa"/>
            </w:tcMar>
            <w:vAlign w:val="center"/>
          </w:tcPr>
          <w:p>
            <w:pPr>
              <w:spacing w:after="0" w:line="259" w:lineRule="auto"/>
            </w:pPr>
            <w:r/>
            <w:r>
              <w:rPr>
                <w:rFonts w:ascii="Aptos" w:hAnsi="Aptos"/>
                <w:b/>
                <w:color w:val="FFFFFF"/>
                <w:sz w:val="16"/>
              </w:rPr>
              <w:t>Implication</w:t>
            </w:r>
          </w:p>
        </w:tc>
        <w:tc>
          <w:tcPr>
            <w:tcW w:type="dxa" w:w="4680"/>
            <w:shd w:fill="1F4E79"/>
            <w:tcBorders>
              <w:top w:val="single" w:sz="8" w:space="0" w:color="B7C9D6"/>
              <w:left w:val="single" w:sz="8" w:space="0" w:color="B7C9D6"/>
              <w:bottom w:val="single" w:sz="8" w:space="0" w:color="B7C9D6"/>
              <w:right w:val="single" w:sz="8" w:space="0" w:color="B7C9D6"/>
              <w:insideH w:val="single" w:sz="8" w:space="0" w:color="B7C9D6"/>
              <w:insideV w:val="single" w:sz="8" w:space="0" w:color="B7C9D6"/>
            </w:tcBorders>
            <w:tcMar>
              <w:top w:w="100" w:type="dxa"/>
              <w:start w:w="120" w:type="dxa"/>
              <w:bottom w:w="100" w:type="dxa"/>
              <w:end w:w="120" w:type="dxa"/>
            </w:tcMar>
            <w:vAlign w:val="center"/>
          </w:tcPr>
          <w:p>
            <w:pPr>
              <w:spacing w:after="0" w:line="259" w:lineRule="auto"/>
            </w:pPr>
            <w:r/>
            <w:r>
              <w:rPr>
                <w:rFonts w:ascii="Aptos" w:hAnsi="Aptos"/>
                <w:b/>
                <w:color w:val="FFFFFF"/>
                <w:sz w:val="16"/>
              </w:rPr>
              <w:t>Recommended wording or action</w:t>
            </w:r>
          </w:p>
        </w:tc>
      </w:tr>
      <w:tr>
        <w:tc>
          <w:tcPr>
            <w:tcW w:type="dxa" w:w="2160"/>
            <w:tcBorders>
              <w:top w:val="single" w:sz="8" w:space="0" w:color="B7C9D6"/>
              <w:left w:val="single" w:sz="8" w:space="0" w:color="B7C9D6"/>
              <w:bottom w:val="single" w:sz="8" w:space="0" w:color="B7C9D6"/>
              <w:right w:val="single" w:sz="8" w:space="0" w:color="B7C9D6"/>
              <w:insideH w:val="single" w:sz="8" w:space="0" w:color="B7C9D6"/>
              <w:insideV w:val="single" w:sz="8" w:space="0" w:color="B7C9D6"/>
            </w:tcBorders>
            <w:tcMar>
              <w:top w:w="100" w:type="dxa"/>
              <w:start w:w="120" w:type="dxa"/>
              <w:bottom w:w="100" w:type="dxa"/>
              <w:end w:w="120" w:type="dxa"/>
            </w:tcMar>
            <w:vAlign w:val="center"/>
          </w:tcPr>
          <w:p>
            <w:pPr>
              <w:spacing w:after="0" w:line="259" w:lineRule="auto"/>
            </w:pPr>
            <w:r/>
            <w:r>
              <w:rPr>
                <w:rFonts w:ascii="Aptos" w:hAnsi="Aptos"/>
                <w:b w:val="0"/>
                <w:sz w:val="16"/>
              </w:rPr>
              <w:t>Coverage scope is app/</w:t>
            </w:r>
          </w:p>
        </w:tc>
        <w:tc>
          <w:tcPr>
            <w:tcW w:type="dxa" w:w="3744"/>
            <w:tcBorders>
              <w:top w:val="single" w:sz="8" w:space="0" w:color="B7C9D6"/>
              <w:left w:val="single" w:sz="8" w:space="0" w:color="B7C9D6"/>
              <w:bottom w:val="single" w:sz="8" w:space="0" w:color="B7C9D6"/>
              <w:right w:val="single" w:sz="8" w:space="0" w:color="B7C9D6"/>
              <w:insideH w:val="single" w:sz="8" w:space="0" w:color="B7C9D6"/>
              <w:insideV w:val="single" w:sz="8" w:space="0" w:color="B7C9D6"/>
            </w:tcBorders>
            <w:tcMar>
              <w:top w:w="100" w:type="dxa"/>
              <w:start w:w="120" w:type="dxa"/>
              <w:bottom w:w="100" w:type="dxa"/>
              <w:end w:w="120" w:type="dxa"/>
            </w:tcMar>
            <w:vAlign w:val="center"/>
          </w:tcPr>
          <w:p>
            <w:pPr>
              <w:spacing w:after="0" w:line="259" w:lineRule="auto"/>
            </w:pPr>
            <w:r/>
            <w:r>
              <w:rPr>
                <w:rFonts w:ascii="Aptos" w:hAnsi="Aptos"/>
                <w:b w:val="0"/>
                <w:sz w:val="16"/>
              </w:rPr>
              <w:t>Routes, views, config, migrations, and front-end assets are not counted unless executed through app code.</w:t>
            </w:r>
          </w:p>
        </w:tc>
        <w:tc>
          <w:tcPr>
            <w:tcW w:type="dxa" w:w="4680"/>
            <w:tcBorders>
              <w:top w:val="single" w:sz="8" w:space="0" w:color="B7C9D6"/>
              <w:left w:val="single" w:sz="8" w:space="0" w:color="B7C9D6"/>
              <w:bottom w:val="single" w:sz="8" w:space="0" w:color="B7C9D6"/>
              <w:right w:val="single" w:sz="8" w:space="0" w:color="B7C9D6"/>
              <w:insideH w:val="single" w:sz="8" w:space="0" w:color="B7C9D6"/>
              <w:insideV w:val="single" w:sz="8" w:space="0" w:color="B7C9D6"/>
            </w:tcBorders>
            <w:tcMar>
              <w:top w:w="100" w:type="dxa"/>
              <w:start w:w="120" w:type="dxa"/>
              <w:bottom w:w="100" w:type="dxa"/>
              <w:end w:w="120" w:type="dxa"/>
            </w:tcMar>
            <w:vAlign w:val="center"/>
          </w:tcPr>
          <w:p>
            <w:pPr>
              <w:spacing w:after="0" w:line="259" w:lineRule="auto"/>
            </w:pPr>
            <w:r/>
            <w:r>
              <w:rPr>
                <w:rFonts w:ascii="Aptos" w:hAnsi="Aptos"/>
                <w:b w:val="0"/>
                <w:sz w:val="16"/>
              </w:rPr>
              <w:t>Report the metric as PHP/Laravel app coverage, not total repository coverage.</w:t>
            </w:r>
          </w:p>
        </w:tc>
      </w:tr>
      <w:tr>
        <w:tc>
          <w:tcPr>
            <w:tcW w:type="dxa" w:w="2160"/>
            <w:tcBorders>
              <w:top w:val="single" w:sz="8" w:space="0" w:color="B7C9D6"/>
              <w:left w:val="single" w:sz="8" w:space="0" w:color="B7C9D6"/>
              <w:bottom w:val="single" w:sz="8" w:space="0" w:color="B7C9D6"/>
              <w:right w:val="single" w:sz="8" w:space="0" w:color="B7C9D6"/>
              <w:insideH w:val="single" w:sz="8" w:space="0" w:color="B7C9D6"/>
              <w:insideV w:val="single" w:sz="8" w:space="0" w:color="B7C9D6"/>
            </w:tcBorders>
            <w:tcMar>
              <w:top w:w="100" w:type="dxa"/>
              <w:start w:w="120" w:type="dxa"/>
              <w:bottom w:w="100" w:type="dxa"/>
              <w:end w:w="120" w:type="dxa"/>
            </w:tcMar>
            <w:vAlign w:val="center"/>
          </w:tcPr>
          <w:p>
            <w:pPr>
              <w:spacing w:after="0" w:line="259" w:lineRule="auto"/>
            </w:pPr>
            <w:r/>
            <w:r>
              <w:rPr>
                <w:rFonts w:ascii="Aptos" w:hAnsi="Aptos"/>
                <w:b w:val="0"/>
                <w:sz w:val="16"/>
              </w:rPr>
              <w:t>Playwright E2E tests are separate</w:t>
            </w:r>
          </w:p>
        </w:tc>
        <w:tc>
          <w:tcPr>
            <w:tcW w:type="dxa" w:w="3744"/>
            <w:tcBorders>
              <w:top w:val="single" w:sz="8" w:space="0" w:color="B7C9D6"/>
              <w:left w:val="single" w:sz="8" w:space="0" w:color="B7C9D6"/>
              <w:bottom w:val="single" w:sz="8" w:space="0" w:color="B7C9D6"/>
              <w:right w:val="single" w:sz="8" w:space="0" w:color="B7C9D6"/>
              <w:insideH w:val="single" w:sz="8" w:space="0" w:color="B7C9D6"/>
              <w:insideV w:val="single" w:sz="8" w:space="0" w:color="B7C9D6"/>
            </w:tcBorders>
            <w:tcMar>
              <w:top w:w="100" w:type="dxa"/>
              <w:start w:w="120" w:type="dxa"/>
              <w:bottom w:w="100" w:type="dxa"/>
              <w:end w:w="120" w:type="dxa"/>
            </w:tcMar>
            <w:vAlign w:val="center"/>
          </w:tcPr>
          <w:p>
            <w:pPr>
              <w:spacing w:after="0" w:line="259" w:lineRule="auto"/>
            </w:pPr>
            <w:r/>
            <w:r>
              <w:rPr>
                <w:rFonts w:ascii="Aptos" w:hAnsi="Aptos"/>
                <w:b w:val="0"/>
                <w:sz w:val="16"/>
              </w:rPr>
              <w:t>They validate browser workflows but did not contribute to the 93.3% PHPUnit coverage number.</w:t>
            </w:r>
          </w:p>
        </w:tc>
        <w:tc>
          <w:tcPr>
            <w:tcW w:type="dxa" w:w="4680"/>
            <w:tcBorders>
              <w:top w:val="single" w:sz="8" w:space="0" w:color="B7C9D6"/>
              <w:left w:val="single" w:sz="8" w:space="0" w:color="B7C9D6"/>
              <w:bottom w:val="single" w:sz="8" w:space="0" w:color="B7C9D6"/>
              <w:right w:val="single" w:sz="8" w:space="0" w:color="B7C9D6"/>
              <w:insideH w:val="single" w:sz="8" w:space="0" w:color="B7C9D6"/>
              <w:insideV w:val="single" w:sz="8" w:space="0" w:color="B7C9D6"/>
            </w:tcBorders>
            <w:tcMar>
              <w:top w:w="100" w:type="dxa"/>
              <w:start w:w="120" w:type="dxa"/>
              <w:bottom w:w="100" w:type="dxa"/>
              <w:end w:w="120" w:type="dxa"/>
            </w:tcMar>
            <w:vAlign w:val="center"/>
          </w:tcPr>
          <w:p>
            <w:pPr>
              <w:spacing w:after="0" w:line="259" w:lineRule="auto"/>
            </w:pPr>
            <w:r/>
            <w:r>
              <w:rPr>
                <w:rFonts w:ascii="Aptos" w:hAnsi="Aptos"/>
                <w:b w:val="0"/>
                <w:sz w:val="16"/>
              </w:rPr>
              <w:t>Mention E2E coverage separately if a browser coverage tool is later configured.</w:t>
            </w:r>
          </w:p>
        </w:tc>
      </w:tr>
      <w:tr>
        <w:tc>
          <w:tcPr>
            <w:tcW w:type="dxa" w:w="2160"/>
            <w:tcBorders>
              <w:top w:val="single" w:sz="8" w:space="0" w:color="B7C9D6"/>
              <w:left w:val="single" w:sz="8" w:space="0" w:color="B7C9D6"/>
              <w:bottom w:val="single" w:sz="8" w:space="0" w:color="B7C9D6"/>
              <w:right w:val="single" w:sz="8" w:space="0" w:color="B7C9D6"/>
              <w:insideH w:val="single" w:sz="8" w:space="0" w:color="B7C9D6"/>
              <w:insideV w:val="single" w:sz="8" w:space="0" w:color="B7C9D6"/>
            </w:tcBorders>
            <w:tcMar>
              <w:top w:w="100" w:type="dxa"/>
              <w:start w:w="120" w:type="dxa"/>
              <w:bottom w:w="100" w:type="dxa"/>
              <w:end w:w="120" w:type="dxa"/>
            </w:tcMar>
            <w:vAlign w:val="center"/>
          </w:tcPr>
          <w:p>
            <w:pPr>
              <w:spacing w:after="0" w:line="259" w:lineRule="auto"/>
            </w:pPr>
            <w:r/>
            <w:r>
              <w:rPr>
                <w:rFonts w:ascii="Aptos" w:hAnsi="Aptos"/>
                <w:b w:val="0"/>
                <w:sz w:val="16"/>
              </w:rPr>
              <w:t>Long coverage run</w:t>
            </w:r>
          </w:p>
        </w:tc>
        <w:tc>
          <w:tcPr>
            <w:tcW w:type="dxa" w:w="3744"/>
            <w:tcBorders>
              <w:top w:val="single" w:sz="8" w:space="0" w:color="B7C9D6"/>
              <w:left w:val="single" w:sz="8" w:space="0" w:color="B7C9D6"/>
              <w:bottom w:val="single" w:sz="8" w:space="0" w:color="B7C9D6"/>
              <w:right w:val="single" w:sz="8" w:space="0" w:color="B7C9D6"/>
              <w:insideH w:val="single" w:sz="8" w:space="0" w:color="B7C9D6"/>
              <w:insideV w:val="single" w:sz="8" w:space="0" w:color="B7C9D6"/>
            </w:tcBorders>
            <w:tcMar>
              <w:top w:w="100" w:type="dxa"/>
              <w:start w:w="120" w:type="dxa"/>
              <w:bottom w:w="100" w:type="dxa"/>
              <w:end w:w="120" w:type="dxa"/>
            </w:tcMar>
            <w:vAlign w:val="center"/>
          </w:tcPr>
          <w:p>
            <w:pPr>
              <w:spacing w:after="0" w:line="259" w:lineRule="auto"/>
            </w:pPr>
            <w:r/>
            <w:r>
              <w:rPr>
                <w:rFonts w:ascii="Aptos" w:hAnsi="Aptos"/>
                <w:b w:val="0"/>
                <w:sz w:val="16"/>
              </w:rPr>
              <w:t>Coverage with Xdebug took about 14 minutes on this machine.</w:t>
            </w:r>
          </w:p>
        </w:tc>
        <w:tc>
          <w:tcPr>
            <w:tcW w:type="dxa" w:w="4680"/>
            <w:tcBorders>
              <w:top w:val="single" w:sz="8" w:space="0" w:color="B7C9D6"/>
              <w:left w:val="single" w:sz="8" w:space="0" w:color="B7C9D6"/>
              <w:bottom w:val="single" w:sz="8" w:space="0" w:color="B7C9D6"/>
              <w:right w:val="single" w:sz="8" w:space="0" w:color="B7C9D6"/>
              <w:insideH w:val="single" w:sz="8" w:space="0" w:color="B7C9D6"/>
              <w:insideV w:val="single" w:sz="8" w:space="0" w:color="B7C9D6"/>
            </w:tcBorders>
            <w:tcMar>
              <w:top w:w="100" w:type="dxa"/>
              <w:start w:w="120" w:type="dxa"/>
              <w:bottom w:w="100" w:type="dxa"/>
              <w:end w:w="120" w:type="dxa"/>
            </w:tcMar>
            <w:vAlign w:val="center"/>
          </w:tcPr>
          <w:p>
            <w:pPr>
              <w:spacing w:after="0" w:line="259" w:lineRule="auto"/>
            </w:pPr>
            <w:r/>
            <w:r>
              <w:rPr>
                <w:rFonts w:ascii="Aptos" w:hAnsi="Aptos"/>
                <w:b w:val="0"/>
                <w:sz w:val="16"/>
              </w:rPr>
              <w:t>Use compact test runs for quick validation and coverage runs for formal evidence.</w:t>
            </w:r>
          </w:p>
        </w:tc>
      </w:tr>
      <w:tr>
        <w:tc>
          <w:tcPr>
            <w:tcW w:type="dxa" w:w="2160"/>
            <w:tcBorders>
              <w:top w:val="single" w:sz="8" w:space="0" w:color="B7C9D6"/>
              <w:left w:val="single" w:sz="8" w:space="0" w:color="B7C9D6"/>
              <w:bottom w:val="single" w:sz="8" w:space="0" w:color="B7C9D6"/>
              <w:right w:val="single" w:sz="8" w:space="0" w:color="B7C9D6"/>
              <w:insideH w:val="single" w:sz="8" w:space="0" w:color="B7C9D6"/>
              <w:insideV w:val="single" w:sz="8" w:space="0" w:color="B7C9D6"/>
            </w:tcBorders>
            <w:tcMar>
              <w:top w:w="100" w:type="dxa"/>
              <w:start w:w="120" w:type="dxa"/>
              <w:bottom w:w="100" w:type="dxa"/>
              <w:end w:w="120" w:type="dxa"/>
            </w:tcMar>
            <w:vAlign w:val="center"/>
          </w:tcPr>
          <w:p>
            <w:pPr>
              <w:spacing w:after="0" w:line="259" w:lineRule="auto"/>
            </w:pPr>
            <w:r/>
            <w:r>
              <w:rPr>
                <w:rFonts w:ascii="Aptos" w:hAnsi="Aptos"/>
                <w:b w:val="0"/>
                <w:sz w:val="16"/>
              </w:rPr>
              <w:t>Some low-coverage files remain</w:t>
            </w:r>
          </w:p>
        </w:tc>
        <w:tc>
          <w:tcPr>
            <w:tcW w:type="dxa" w:w="3744"/>
            <w:tcBorders>
              <w:top w:val="single" w:sz="8" w:space="0" w:color="B7C9D6"/>
              <w:left w:val="single" w:sz="8" w:space="0" w:color="B7C9D6"/>
              <w:bottom w:val="single" w:sz="8" w:space="0" w:color="B7C9D6"/>
              <w:right w:val="single" w:sz="8" w:space="0" w:color="B7C9D6"/>
              <w:insideH w:val="single" w:sz="8" w:space="0" w:color="B7C9D6"/>
              <w:insideV w:val="single" w:sz="8" w:space="0" w:color="B7C9D6"/>
            </w:tcBorders>
            <w:tcMar>
              <w:top w:w="100" w:type="dxa"/>
              <w:start w:w="120" w:type="dxa"/>
              <w:bottom w:w="100" w:type="dxa"/>
              <w:end w:w="120" w:type="dxa"/>
            </w:tcMar>
            <w:vAlign w:val="center"/>
          </w:tcPr>
          <w:p>
            <w:pPr>
              <w:spacing w:after="0" w:line="259" w:lineRule="auto"/>
            </w:pPr>
            <w:r/>
            <w:r>
              <w:rPr>
                <w:rFonts w:ascii="Aptos" w:hAnsi="Aptos"/>
                <w:b w:val="0"/>
                <w:sz w:val="16"/>
              </w:rPr>
              <w:t>Testing-only controllers/middleware and selected workflow branches had lower percentages.</w:t>
            </w:r>
          </w:p>
        </w:tc>
        <w:tc>
          <w:tcPr>
            <w:tcW w:type="dxa" w:w="4680"/>
            <w:tcBorders>
              <w:top w:val="single" w:sz="8" w:space="0" w:color="B7C9D6"/>
              <w:left w:val="single" w:sz="8" w:space="0" w:color="B7C9D6"/>
              <w:bottom w:val="single" w:sz="8" w:space="0" w:color="B7C9D6"/>
              <w:right w:val="single" w:sz="8" w:space="0" w:color="B7C9D6"/>
              <w:insideH w:val="single" w:sz="8" w:space="0" w:color="B7C9D6"/>
              <w:insideV w:val="single" w:sz="8" w:space="0" w:color="B7C9D6"/>
            </w:tcBorders>
            <w:tcMar>
              <w:top w:w="100" w:type="dxa"/>
              <w:start w:w="120" w:type="dxa"/>
              <w:bottom w:w="100" w:type="dxa"/>
              <w:end w:w="120" w:type="dxa"/>
            </w:tcMar>
            <w:vAlign w:val="center"/>
          </w:tcPr>
          <w:p>
            <w:pPr>
              <w:spacing w:after="0" w:line="259" w:lineRule="auto"/>
            </w:pPr>
            <w:r/>
            <w:r>
              <w:rPr>
                <w:rFonts w:ascii="Aptos" w:hAnsi="Aptos"/>
                <w:b w:val="0"/>
                <w:sz w:val="16"/>
              </w:rPr>
              <w:t>If the target is above 95%, prioritize files below 80% and high-risk branches first.</w:t>
            </w:r>
          </w:p>
        </w:tc>
      </w:tr>
    </w:tbl>
    <w:p/>
    <w:p>
      <w:pPr>
        <w:pStyle w:val="Heading1"/>
        <w:spacing w:before="240" w:after="80"/>
      </w:pPr>
      <w:r>
        <w:rPr>
          <w:rFonts w:ascii="Aptos Display" w:hAnsi="Aptos Display"/>
          <w:color w:val="1F4E79"/>
        </w:rPr>
        <w:t>Appendix A: Reproducible Command Set</w:t>
      </w:r>
    </w:p>
    <w:p>
      <w:pPr>
        <w:spacing w:before="40" w:after="120" w:line="240" w:lineRule="auto"/>
        <w:ind w:left="259" w:right="259"/>
        <w:shd w:fill="F3F6F8"/>
      </w:pPr>
      <w:r>
        <w:rPr>
          <w:rFonts w:ascii="Cascadia Mono" w:hAnsi="Cascadia Mono"/>
          <w:color w:val="1F2937"/>
          <w:sz w:val="14"/>
        </w:rPr>
        <w:t>Get-ChildItem -Force</w:t>
        <w:br/>
        <w:t>Get-Content composer.json</w:t>
        <w:br/>
        <w:t>Get-Content package.json</w:t>
        <w:br/>
        <w:t>Get-Content phpunit.xml</w:t>
        <w:br/>
        <w:t>Get-ChildItem -Path tests -Recurse -File | Select-Object FullName</w:t>
        <w:br/>
        <w:t>php -v</w:t>
        <w:br/>
        <w:t>php -m</w:t>
        <w:br/>
        <w:t>(Get-ChildItem -Path tests\Unit -Recurse -Filter *.php | Measure-Object).Count</w:t>
        <w:br/>
        <w:t>(Get-ChildItem -Path tests\Feature -Recurse -Filter *.php | Measure-Object).Count</w:t>
        <w:br/>
        <w:t>(Get-ChildItem -Path tests\e2e -Recurse -Filter *.js | Measure-Object).Count</w:t>
        <w:br/>
        <w:t>$env:XDEBUG_MODE='coverage'; php artisan test --coverage</w:t>
        <w:br/>
        <w:t>php artisan test --compact</w:t>
        <w:br/>
        <w:t>php artisan test --testsuite=Unit --compact</w:t>
        <w:br/>
        <w:t>php artisan test --testsuite=Feature --compact</w:t>
        <w:br/>
        <w:t>Get-Date -Format "yyyy-MM-dd HH:mm:ss zzz"</w:t>
        <w:br/>
        <w:t>git rev-parse --short HEAD</w:t>
        <w:br/>
        <w:t>git status --short</w:t>
      </w:r>
    </w:p>
    <w:p>
      <w:pPr>
        <w:pStyle w:val="Heading1"/>
        <w:spacing w:before="240" w:after="80"/>
      </w:pPr>
      <w:r>
        <w:rPr>
          <w:rFonts w:ascii="Aptos Display" w:hAnsi="Aptos Display"/>
          <w:color w:val="1F4E79"/>
        </w:rPr>
        <w:t>Appendix B: Decision-Ready Statement</w:t>
      </w:r>
    </w:p>
    <w:p>
      <w:pPr>
        <w:spacing w:after="100" w:line="269" w:lineRule="auto"/>
      </w:pPr>
      <w:r>
        <w:rPr>
          <w:rFonts w:ascii="Aptos" w:hAnsi="Aptos"/>
          <w:sz w:val="19"/>
        </w:rPr>
        <w:t>Based on the investigation, the defensible statement for a formal project report is: "The NUBL Laravel application has 93.3% PHPUnit test coverage over the app/ source tree. The PHP test suite includes both Unit and Feature tests: 243 Unit tests and 541 Feature tests, with all 784 tests passing across 2,658 assertions. Playwright E2E tests are also present as a separate browser testing layer, but they are not included in the PHPUnit coverage percentage."</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B7280"/>
        <w:sz w:val="16"/>
      </w:rPr>
      <w:t>NUBL Test Coverage Investigation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