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F2614">
      <w:pPr>
        <w:rPr>
          <w:rFonts w:hint="eastAsia"/>
          <w:sz w:val="34"/>
          <w:szCs w:val="34"/>
          <w:lang w:val="en-US"/>
        </w:rPr>
      </w:pPr>
      <w:r>
        <w:rPr>
          <w:rFonts w:hint="eastAsia"/>
          <w:sz w:val="34"/>
          <w:szCs w:val="34"/>
        </w:rPr>
        <w:t>STEP 2 — Final Validated Findings</w:t>
      </w:r>
    </w:p>
    <w:p w14:paraId="52D8AB29">
      <w:pPr>
        <w:rPr>
          <w:rFonts w:hint="eastAsia"/>
          <w:sz w:val="34"/>
          <w:szCs w:val="34"/>
        </w:rPr>
      </w:pPr>
    </w:p>
    <w:p w14:paraId="57A497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Overall no-show rate: 48.46% of appointments resulted in a no-show.</w:t>
      </w:r>
    </w:p>
    <w:p w14:paraId="378145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Booking lead time is strongly associated with no-shows: the no-show rate increased from 27.81% for 0–7 days to 60.49% for 31+ days.</w:t>
      </w:r>
    </w:p>
    <w:p w14:paraId="728A39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Previous no-show history is associated with higher future no-shows: patients with 2+ previous no-shows had a 61.02% no-show rate, compared with 43.51% among those with no previous no-shows.</w:t>
      </w:r>
    </w:p>
    <w:p w14:paraId="04B4EB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The combination of previous no-shows and long booking lead time identifies a particularly high-risk group: patients with 2+ previous no-shows and 31+ booking lead days had a 72.96% no-show rate.</w:t>
      </w:r>
    </w:p>
    <w:p w14:paraId="7BAA4A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Reminders show a smaller difference: no-show rate was 51.39% when no reminder was sent versus 47.36% when a reminder was sent.</w:t>
      </w:r>
    </w:p>
    <w:p w14:paraId="23861657">
      <w:pPr>
        <w:rPr>
          <w:rFonts w:hint="eastAsia"/>
          <w:sz w:val="34"/>
          <w:szCs w:val="34"/>
        </w:rPr>
      </w:pPr>
    </w:p>
    <w:p w14:paraId="7507C2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Business Insights</w:t>
      </w:r>
    </w:p>
    <w:p w14:paraId="6475D03E">
      <w:pPr>
        <w:rPr>
          <w:rFonts w:hint="eastAsia"/>
          <w:sz w:val="34"/>
          <w:szCs w:val="34"/>
        </w:rPr>
      </w:pPr>
    </w:p>
    <w:p w14:paraId="74D26C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Long booking lead times are associated with higher no-show rates, suggesting that appointments scheduled far in advance may require additional engagement.</w:t>
      </w:r>
    </w:p>
    <w:p w14:paraId="2E66BF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Previous attendance behaviour is an important indicator of future attendance, with repeated previous no-shows associated with substantially higher no-show rates.</w:t>
      </w:r>
    </w:p>
    <w:p w14:paraId="436D1A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Combining booking lead time and previous no-show history provides stronger risk identification than considering either factor alone.</w:t>
      </w:r>
    </w:p>
    <w:p w14:paraId="21D17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Reminder use is associated with a modestly lower observed no-show rate, although the analysis does not establish that reminders alone caused the reduction.</w:t>
      </w:r>
    </w:p>
    <w:p w14:paraId="1812001E">
      <w:pPr>
        <w:rPr>
          <w:rFonts w:hint="eastAsia"/>
          <w:sz w:val="34"/>
          <w:szCs w:val="34"/>
        </w:rPr>
      </w:pPr>
    </w:p>
    <w:p w14:paraId="1FD66F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Recommendations</w:t>
      </w:r>
    </w:p>
    <w:p w14:paraId="6AE21FE2">
      <w:pPr>
        <w:rPr>
          <w:rFonts w:hint="eastAsia"/>
          <w:sz w:val="34"/>
          <w:szCs w:val="34"/>
        </w:rPr>
      </w:pPr>
    </w:p>
    <w:p w14:paraId="6EF099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Introduce targeted follow-up for high-risk appointments, particularly patients with previous no-shows and appointments booked far in advance.</w:t>
      </w:r>
    </w:p>
    <w:p w14:paraId="644269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Use reminder/confirmation strategies closer to the appointment date, especially for appointments scheduled 31+ days ahead.</w:t>
      </w:r>
    </w:p>
    <w:p w14:paraId="7FC56F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Prioritize patients with repeated previous no-shows for additional confirmation or engagement.</w:t>
      </w:r>
    </w:p>
    <w:p w14:paraId="318B3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Monitor no-show rates by booking lead time and previous attendance history as part of ongoing appointment-management decisions.</w:t>
      </w:r>
    </w:p>
    <w:p w14:paraId="0A915F7A">
      <w:pPr>
        <w:rPr>
          <w:rFonts w:hint="eastAsia"/>
          <w:sz w:val="34"/>
          <w:szCs w:val="34"/>
        </w:rPr>
      </w:pPr>
    </w:p>
    <w:p w14:paraId="00E0D6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Analytical Limitations</w:t>
      </w:r>
    </w:p>
    <w:p w14:paraId="6AE303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The analysis identifies associations, not causal relationships.</w:t>
      </w:r>
    </w:p>
    <w:p w14:paraId="483A7F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The predictive model had 63% accuracy, 62% recall, 63% precision, and 0.68 ROC-AUC, so predictions should support rather than replace operational decisions.</w:t>
      </w:r>
    </w:p>
    <w:p w14:paraId="09A720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Some variables may contain inconsistencies or limitations in how they were recorded.</w:t>
      </w:r>
    </w:p>
    <w:p w14:paraId="12CEB9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The analysis is based on the available HealthConnect dataset and may not represent future patient behaviour.</w:t>
      </w:r>
    </w:p>
    <w:p w14:paraId="13E8055B">
      <w:pPr>
        <w:rPr>
          <w:rFonts w:hint="eastAsia"/>
          <w:sz w:val="34"/>
          <w:szCs w:val="34"/>
        </w:rPr>
      </w:pPr>
    </w:p>
    <w:p w14:paraId="59EEE932">
      <w:pPr>
        <w:rPr>
          <w:rFonts w:hint="eastAsia"/>
          <w:sz w:val="34"/>
          <w:szCs w:val="34"/>
          <w:lang w:val="en-US"/>
        </w:rPr>
      </w:pPr>
      <w:r>
        <w:rPr>
          <w:rFonts w:hint="eastAsia"/>
          <w:sz w:val="34"/>
          <w:szCs w:val="34"/>
        </w:rPr>
        <w:t>Cross-Track Contributio</w:t>
      </w:r>
      <w:r>
        <w:rPr>
          <w:rFonts w:hint="default"/>
          <w:sz w:val="34"/>
          <w:szCs w:val="34"/>
          <w:lang w:val="en-US"/>
        </w:rPr>
        <w:t>n</w:t>
      </w:r>
    </w:p>
    <w:p w14:paraId="6A70B2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Data Analytics track provides validated attendance and no-show patterns, KPIs, business insights, risk indicators, and data-driven recommendations to support HealthConnect’s final decision-making and integration.</w:t>
      </w:r>
    </w:p>
    <w:p w14:paraId="60A92406">
      <w:pPr>
        <w:rPr>
          <w:rFonts w:hint="eastAsia"/>
          <w:sz w:val="34"/>
          <w:szCs w:val="34"/>
        </w:rPr>
      </w:pPr>
    </w:p>
    <w:p w14:paraId="65758F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What should the other tracks use from Analytics?</w:t>
      </w:r>
    </w:p>
    <w:p w14:paraId="487EEA78">
      <w:pPr>
        <w:rPr>
          <w:rFonts w:hint="eastAsia"/>
          <w:sz w:val="34"/>
          <w:szCs w:val="34"/>
        </w:rPr>
      </w:pPr>
    </w:p>
    <w:p w14:paraId="46E2D9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Product/Operations</w:t>
      </w:r>
    </w:p>
    <w:p w14:paraId="426CA1C8">
      <w:pPr>
        <w:rPr>
          <w:rFonts w:hint="eastAsia"/>
          <w:sz w:val="34"/>
          <w:szCs w:val="34"/>
        </w:rPr>
      </w:pPr>
    </w:p>
    <w:p w14:paraId="3E9A9B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 the identified high-risk patient and booking patterns to inform appointment-management and follow-up strategies.</w:t>
      </w:r>
    </w:p>
    <w:p w14:paraId="4BCE022B">
      <w:pPr>
        <w:rPr>
          <w:rFonts w:hint="eastAsia"/>
          <w:sz w:val="34"/>
          <w:szCs w:val="34"/>
        </w:rPr>
      </w:pPr>
    </w:p>
    <w:p w14:paraId="02D6AF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Data/Technical track</w:t>
      </w:r>
    </w:p>
    <w:p w14:paraId="2634558E">
      <w:pPr>
        <w:rPr>
          <w:rFonts w:hint="eastAsia"/>
          <w:sz w:val="34"/>
          <w:szCs w:val="34"/>
        </w:rPr>
      </w:pPr>
    </w:p>
    <w:p w14:paraId="797C5C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 the validated KPIs, analytical findings, and model results as inputs for the integrated HealthConnect solution.</w:t>
      </w:r>
    </w:p>
    <w:p w14:paraId="70E4B374">
      <w:pPr>
        <w:rPr>
          <w:rFonts w:hint="eastAsia"/>
          <w:sz w:val="34"/>
          <w:szCs w:val="34"/>
        </w:rPr>
      </w:pPr>
    </w:p>
    <w:p w14:paraId="67CCC3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Communication/Presentation track</w:t>
      </w:r>
    </w:p>
    <w:p w14:paraId="6A61E4DE">
      <w:pPr>
        <w:rPr>
          <w:rFonts w:hint="eastAsia"/>
          <w:sz w:val="34"/>
          <w:szCs w:val="34"/>
        </w:rPr>
      </w:pPr>
    </w:p>
    <w:p w14:paraId="16AEEC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 the final findings, visualizations, and recommendations to communicate the project’s business impact.</w:t>
      </w:r>
    </w:p>
    <w:p w14:paraId="7092FDA8">
      <w:pPr>
        <w:rPr>
          <w:rFonts w:hint="eastAsia"/>
          <w:sz w:val="34"/>
          <w:szCs w:val="34"/>
        </w:rPr>
      </w:pPr>
    </w:p>
    <w:p w14:paraId="237B87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 Analytics output to integrate</w:t>
      </w:r>
    </w:p>
    <w:p w14:paraId="146DD2FF">
      <w:pPr>
        <w:rPr>
          <w:rFonts w:hint="eastAsia"/>
          <w:sz w:val="34"/>
          <w:szCs w:val="34"/>
        </w:rPr>
      </w:pPr>
    </w:p>
    <w:p w14:paraId="360FED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You can put this as a short list:</w:t>
      </w:r>
    </w:p>
    <w:p w14:paraId="567E3A8D">
      <w:pPr>
        <w:rPr>
          <w:rFonts w:hint="eastAsia"/>
          <w:sz w:val="34"/>
          <w:szCs w:val="34"/>
        </w:rPr>
      </w:pPr>
    </w:p>
    <w:p w14:paraId="473D5F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48.46% overall no-show rate</w:t>
      </w:r>
    </w:p>
    <w:p w14:paraId="58415C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60.49% no-show rate for 31+ day bookings</w:t>
      </w:r>
    </w:p>
    <w:p w14:paraId="5A72F0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61.02% for patients with 2+ previous no-shows</w:t>
      </w:r>
    </w:p>
    <w:p w14:paraId="73A1CA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72.96% for the 2+ previous no-shows + 31+ day combination</w:t>
      </w:r>
    </w:p>
    <w:p w14:paraId="7912CB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 Data-driven recommendations for targeted follow-up and appointment reminders.</w:t>
      </w:r>
    </w:p>
    <w:p w14:paraId="443222B5">
      <w:pPr>
        <w:rPr>
          <w:rFonts w:hint="eastAsia"/>
          <w:sz w:val="34"/>
          <w:szCs w:val="34"/>
        </w:rPr>
      </w:pPr>
    </w:p>
    <w:p w14:paraId="53F850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Executive Summary</w:t>
      </w:r>
      <w:bookmarkStart w:id="0" w:name="_GoBack"/>
      <w:bookmarkEnd w:id="0"/>
    </w:p>
    <w:p w14:paraId="2FA123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HealthConnect Analytics identified key patterns associated with appointment no-shows. Overall, 48.46% of appointments resulted in a no-show. No-show rates increased substantially as booking lead time increased, reaching 60.49% for appointments booked 31 or more days in advance. Previous attendance behaviour was also important, with patients who had 2 or more previous no-shows recording a 61.02% no-show rate. The highest observed risk occurred among patients with 2 or more previous no-shows who booked more than 31 days ahead, with a no-show rate of 72.96%. These findings support targeted follow-up, timely appointment reminders, and ongoing monitoring of high-risk appointment patterns.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2026-09-27T09:47:18Z</dcterms:created>
  <dc:creator>iPhone</dc:creator>
  <cp:lastModifiedBy>iPhone</cp:lastModifiedBy>
  <dcterms:modified xsi:type="dcterms:W3CDTF">2026-09-27T14:52:17Z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3081-26.8.0</vt:lpwstr>
  </property>
  <property fmtid="{D5CDD505-2E9C-101B-9397-08002B2CF9AE}" pid="3" name="ICV">
    <vt:lpwstr>C8D688FBD1B6B76906CAB86AF413F4B7_31</vt:lpwstr>
  </property>
</Properties>
</file>