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A747A" w14:textId="1BF6E4DB" w:rsidR="00904E88" w:rsidRPr="00681AC6" w:rsidRDefault="00681AC6" w:rsidP="00074BDC">
      <w:pPr>
        <w:pStyle w:val="Heading1"/>
        <w:spacing w:line="240" w:lineRule="auto"/>
        <w:jc w:val="center"/>
      </w:pPr>
      <w:r w:rsidRPr="0047056F">
        <w:rPr>
          <w:b/>
          <w:bCs/>
          <w:color w:val="auto"/>
        </w:rPr>
        <w:t>Business Insights, Risks and Opportunities Report</w:t>
      </w:r>
    </w:p>
    <w:p w14:paraId="5575955D" w14:textId="677642A4" w:rsidR="009E0C8E" w:rsidRPr="00074BDC" w:rsidRDefault="009E0C8E" w:rsidP="00074BDC">
      <w:pPr>
        <w:spacing w:line="240" w:lineRule="auto"/>
        <w:rPr>
          <w:b/>
          <w:bCs/>
          <w:sz w:val="32"/>
          <w:szCs w:val="32"/>
        </w:rPr>
      </w:pPr>
      <w:r w:rsidRPr="00074BDC">
        <w:rPr>
          <w:b/>
          <w:bCs/>
          <w:sz w:val="32"/>
          <w:szCs w:val="32"/>
        </w:rPr>
        <w:t>Business Insights</w:t>
      </w:r>
    </w:p>
    <w:p w14:paraId="1AEFE8D4" w14:textId="542FD284" w:rsidR="009E0C8E" w:rsidRPr="00074BDC" w:rsidRDefault="009E0C8E" w:rsidP="00074BDC">
      <w:pPr>
        <w:pStyle w:val="ListParagraph"/>
        <w:numPr>
          <w:ilvl w:val="0"/>
          <w:numId w:val="2"/>
        </w:numPr>
        <w:spacing w:line="240" w:lineRule="auto"/>
        <w:rPr>
          <w:sz w:val="28"/>
          <w:szCs w:val="28"/>
        </w:rPr>
      </w:pPr>
      <w:r w:rsidRPr="00074BDC">
        <w:rPr>
          <w:b/>
          <w:bCs/>
          <w:sz w:val="28"/>
          <w:szCs w:val="28"/>
        </w:rPr>
        <w:t>Regional performance differs in terms of sales and profitability.</w:t>
      </w:r>
      <w:r w:rsidRPr="00074BDC">
        <w:rPr>
          <w:sz w:val="28"/>
          <w:szCs w:val="28"/>
        </w:rPr>
        <w:br/>
        <w:t>The dashboard shows that sales increase across the West, East and Central regions, while the South region records higher profit compared with the Central region. This indicates that higher sales do not necessarily translate into higher profitability. Management should investigate the factors affecting Central’s profitability, such as pricing, discounts and operating costs, to improve its profit performance.</w:t>
      </w:r>
    </w:p>
    <w:p w14:paraId="00C3D0E8" w14:textId="2B22D926" w:rsidR="009E0C8E" w:rsidRPr="00074BDC" w:rsidRDefault="009E0C8E" w:rsidP="00074BDC">
      <w:pPr>
        <w:pStyle w:val="ListParagraph"/>
        <w:numPr>
          <w:ilvl w:val="0"/>
          <w:numId w:val="2"/>
        </w:numPr>
        <w:spacing w:line="240" w:lineRule="auto"/>
        <w:rPr>
          <w:sz w:val="28"/>
          <w:szCs w:val="28"/>
        </w:rPr>
      </w:pPr>
      <w:r w:rsidRPr="00074BDC">
        <w:rPr>
          <w:b/>
          <w:bCs/>
          <w:sz w:val="28"/>
          <w:szCs w:val="28"/>
        </w:rPr>
        <w:t>The Consumer segment is the major contributor to sales.</w:t>
      </w:r>
      <w:r w:rsidRPr="00074BDC">
        <w:rPr>
          <w:sz w:val="28"/>
          <w:szCs w:val="28"/>
        </w:rPr>
        <w:br/>
        <w:t>The Customer Segment analysis shows that the Consumer segment contributes the largest share of sales compared with the Corporate and Home Office segments. This indicates that the company relies significantly on Consumer customers for revenue. Management should therefore focus on strategies that attract, retain and increase purchases from this customer segment.</w:t>
      </w:r>
    </w:p>
    <w:p w14:paraId="58F71572" w14:textId="2B5C851E" w:rsidR="0097596D" w:rsidRPr="00074BDC" w:rsidRDefault="009E0C8E" w:rsidP="00074BDC">
      <w:pPr>
        <w:pStyle w:val="ListParagraph"/>
        <w:numPr>
          <w:ilvl w:val="0"/>
          <w:numId w:val="2"/>
        </w:numPr>
        <w:spacing w:line="240" w:lineRule="auto"/>
        <w:rPr>
          <w:sz w:val="28"/>
          <w:szCs w:val="28"/>
        </w:rPr>
      </w:pPr>
      <w:r w:rsidRPr="00074BDC">
        <w:rPr>
          <w:b/>
          <w:bCs/>
          <w:sz w:val="28"/>
          <w:szCs w:val="28"/>
        </w:rPr>
        <w:t>Technology generates strong sales, while Office Supplies demonstrates stronger profitability relative to its sales.</w:t>
      </w:r>
      <w:r w:rsidR="00074BDC" w:rsidRPr="00074BDC">
        <w:rPr>
          <w:b/>
          <w:bCs/>
          <w:sz w:val="28"/>
          <w:szCs w:val="28"/>
        </w:rPr>
        <w:t xml:space="preserve"> </w:t>
      </w:r>
      <w:r w:rsidRPr="00074BDC">
        <w:rPr>
          <w:sz w:val="28"/>
          <w:szCs w:val="28"/>
        </w:rPr>
        <w:t>The Category analysis shows that Technology records strong sales and profitability, making it an important contributor to overall business performance. However, Office Supplies generates lower sales but performs relatively well in terms of profit. This suggests that sales volume alone does not determine profitability and that management should examine the factors contributing to the strong profit performance of Office Supplies.</w:t>
      </w:r>
    </w:p>
    <w:p w14:paraId="2FFA3680" w14:textId="3B582FB9" w:rsidR="0097596D" w:rsidRPr="00074BDC" w:rsidRDefault="009E0C8E" w:rsidP="00074BDC">
      <w:pPr>
        <w:pStyle w:val="ListParagraph"/>
        <w:numPr>
          <w:ilvl w:val="0"/>
          <w:numId w:val="1"/>
        </w:numPr>
        <w:spacing w:line="240" w:lineRule="auto"/>
        <w:rPr>
          <w:sz w:val="28"/>
          <w:szCs w:val="28"/>
        </w:rPr>
      </w:pPr>
      <w:r w:rsidRPr="00074BDC">
        <w:rPr>
          <w:b/>
          <w:bCs/>
          <w:sz w:val="28"/>
          <w:szCs w:val="28"/>
        </w:rPr>
        <w:t>Product profitability varies considerably.</w:t>
      </w:r>
      <w:r w:rsidRPr="00074BDC">
        <w:rPr>
          <w:sz w:val="28"/>
          <w:szCs w:val="28"/>
        </w:rPr>
        <w:br/>
        <w:t>The product profitability analysis shows that some products generate substantially higher profits than others, while some products generate very low or negative profit. This indicates that product performance is uneven.</w:t>
      </w:r>
      <w:r w:rsidR="0097596D" w:rsidRPr="00074BDC">
        <w:rPr>
          <w:b/>
          <w:bCs/>
          <w:sz w:val="28"/>
          <w:szCs w:val="28"/>
        </w:rPr>
        <w:t xml:space="preserve"> </w:t>
      </w:r>
    </w:p>
    <w:p w14:paraId="2D098F2E" w14:textId="54DFEBD1" w:rsidR="009E0C8E" w:rsidRPr="00074BDC" w:rsidRDefault="009E0C8E" w:rsidP="00074BDC">
      <w:pPr>
        <w:pStyle w:val="ListParagraph"/>
        <w:numPr>
          <w:ilvl w:val="0"/>
          <w:numId w:val="1"/>
        </w:numPr>
        <w:spacing w:line="240" w:lineRule="auto"/>
        <w:rPr>
          <w:sz w:val="28"/>
          <w:szCs w:val="28"/>
        </w:rPr>
      </w:pPr>
      <w:r w:rsidRPr="00074BDC">
        <w:rPr>
          <w:b/>
          <w:bCs/>
          <w:sz w:val="28"/>
          <w:szCs w:val="28"/>
        </w:rPr>
        <w:t>Sales increase toward the end of the month.</w:t>
      </w:r>
      <w:r w:rsidRPr="00074BDC">
        <w:rPr>
          <w:sz w:val="28"/>
          <w:szCs w:val="28"/>
        </w:rPr>
        <w:br/>
        <w:t>The sales trend analysis shows an upward movement in sales toward the end of the month, indicating that customer purchasing activity tends to increase during this period. This presents an opportunity for the company to plan inventory, marketing campaigns and promotional activities ahead of the end-of-month period to take advantage of increased demand.</w:t>
      </w:r>
    </w:p>
    <w:p w14:paraId="0716EC5C" w14:textId="3795B421" w:rsidR="00904E88" w:rsidRPr="00074BDC" w:rsidRDefault="00904E88" w:rsidP="00074BDC">
      <w:pPr>
        <w:spacing w:line="240" w:lineRule="auto"/>
        <w:rPr>
          <w:b/>
          <w:bCs/>
          <w:sz w:val="32"/>
          <w:szCs w:val="32"/>
        </w:rPr>
      </w:pPr>
      <w:r w:rsidRPr="00074BDC">
        <w:rPr>
          <w:b/>
          <w:bCs/>
          <w:sz w:val="32"/>
          <w:szCs w:val="32"/>
        </w:rPr>
        <w:lastRenderedPageBreak/>
        <w:t>Business Risks</w:t>
      </w:r>
    </w:p>
    <w:p w14:paraId="1576286B" w14:textId="77777777" w:rsidR="00904E88" w:rsidRPr="00074BDC" w:rsidRDefault="00904E88" w:rsidP="00074BDC">
      <w:pPr>
        <w:pStyle w:val="ListParagraph"/>
        <w:numPr>
          <w:ilvl w:val="0"/>
          <w:numId w:val="6"/>
        </w:numPr>
        <w:spacing w:line="240" w:lineRule="auto"/>
        <w:rPr>
          <w:sz w:val="28"/>
          <w:szCs w:val="28"/>
        </w:rPr>
      </w:pPr>
      <w:r w:rsidRPr="00074BDC">
        <w:rPr>
          <w:b/>
          <w:bCs/>
          <w:sz w:val="28"/>
          <w:szCs w:val="28"/>
        </w:rPr>
        <w:t>Regional Profitability Risk:</w:t>
      </w:r>
      <w:r w:rsidRPr="00074BDC">
        <w:rPr>
          <w:sz w:val="28"/>
          <w:szCs w:val="28"/>
        </w:rPr>
        <w:t xml:space="preserve"> The Central region requires closer monitoring, as its relatively high sales are not translating into equally strong profit, which may negatively affect overall profitability. </w:t>
      </w:r>
    </w:p>
    <w:p w14:paraId="70F93DAD" w14:textId="77777777" w:rsidR="00904E88" w:rsidRPr="00074BDC" w:rsidRDefault="00904E88" w:rsidP="00074BDC">
      <w:pPr>
        <w:pStyle w:val="ListParagraph"/>
        <w:numPr>
          <w:ilvl w:val="0"/>
          <w:numId w:val="6"/>
        </w:numPr>
        <w:spacing w:line="240" w:lineRule="auto"/>
        <w:rPr>
          <w:sz w:val="28"/>
          <w:szCs w:val="28"/>
        </w:rPr>
      </w:pPr>
      <w:r w:rsidRPr="00074BDC">
        <w:rPr>
          <w:b/>
          <w:bCs/>
          <w:sz w:val="28"/>
          <w:szCs w:val="28"/>
        </w:rPr>
        <w:t>Sales Trend Risk:</w:t>
      </w:r>
      <w:r w:rsidRPr="00074BDC">
        <w:rPr>
          <w:sz w:val="28"/>
          <w:szCs w:val="28"/>
        </w:rPr>
        <w:t xml:space="preserve"> Significant fluctuations in sales, particularly the decline in February and sudden drop in October, indicate potential seasonal or operational issues that could affect revenue if not investigated. </w:t>
      </w:r>
    </w:p>
    <w:p w14:paraId="24C00784" w14:textId="77777777" w:rsidR="00904E88" w:rsidRPr="00074BDC" w:rsidRDefault="00904E88" w:rsidP="00074BDC">
      <w:pPr>
        <w:pStyle w:val="ListParagraph"/>
        <w:numPr>
          <w:ilvl w:val="0"/>
          <w:numId w:val="6"/>
        </w:numPr>
        <w:spacing w:line="240" w:lineRule="auto"/>
        <w:rPr>
          <w:sz w:val="28"/>
          <w:szCs w:val="28"/>
        </w:rPr>
      </w:pPr>
      <w:r w:rsidRPr="00074BDC">
        <w:rPr>
          <w:b/>
          <w:bCs/>
          <w:sz w:val="28"/>
          <w:szCs w:val="28"/>
        </w:rPr>
        <w:t>Product Profitability Risk:</w:t>
      </w:r>
      <w:r w:rsidRPr="00074BDC">
        <w:rPr>
          <w:sz w:val="28"/>
          <w:szCs w:val="28"/>
        </w:rPr>
        <w:t xml:space="preserve"> Furniture generates high sales but relatively low profit, while Office Supplies and Technology require closer profitability analysis. This may indicate pricing, discount, or cost-related issues that could reduce overall profit.</w:t>
      </w:r>
    </w:p>
    <w:p w14:paraId="7C0D9D74" w14:textId="77777777" w:rsidR="00904E88" w:rsidRPr="00074BDC" w:rsidRDefault="00904E88" w:rsidP="00074BDC">
      <w:pPr>
        <w:spacing w:line="240" w:lineRule="auto"/>
        <w:ind w:left="416"/>
        <w:rPr>
          <w:sz w:val="32"/>
          <w:szCs w:val="32"/>
        </w:rPr>
      </w:pPr>
    </w:p>
    <w:p w14:paraId="17E53DEB" w14:textId="77777777" w:rsidR="00904E88" w:rsidRPr="00074BDC" w:rsidRDefault="00904E88" w:rsidP="00074BDC">
      <w:pPr>
        <w:spacing w:line="240" w:lineRule="auto"/>
        <w:rPr>
          <w:b/>
          <w:bCs/>
          <w:sz w:val="32"/>
          <w:szCs w:val="32"/>
        </w:rPr>
      </w:pPr>
      <w:r w:rsidRPr="00074BDC">
        <w:rPr>
          <w:b/>
          <w:bCs/>
          <w:sz w:val="32"/>
          <w:szCs w:val="32"/>
        </w:rPr>
        <w:t>Business Opportunities</w:t>
      </w:r>
    </w:p>
    <w:p w14:paraId="50851F63" w14:textId="77777777" w:rsidR="00904E88" w:rsidRPr="00074BDC" w:rsidRDefault="00904E88" w:rsidP="00074BDC">
      <w:pPr>
        <w:pStyle w:val="ListParagraph"/>
        <w:numPr>
          <w:ilvl w:val="0"/>
          <w:numId w:val="7"/>
        </w:numPr>
        <w:spacing w:line="240" w:lineRule="auto"/>
        <w:rPr>
          <w:sz w:val="28"/>
          <w:szCs w:val="28"/>
        </w:rPr>
      </w:pPr>
      <w:r w:rsidRPr="00074BDC">
        <w:rPr>
          <w:b/>
          <w:bCs/>
          <w:sz w:val="28"/>
          <w:szCs w:val="28"/>
        </w:rPr>
        <w:t>Regional Growth Opportunity:</w:t>
      </w:r>
      <w:r w:rsidRPr="00074BDC">
        <w:rPr>
          <w:sz w:val="28"/>
          <w:szCs w:val="28"/>
        </w:rPr>
        <w:t xml:space="preserve"> Improve the performance of the Central region by reviewing pricing, costs, and sales strategies to convert its strong sales volume into higher profit. </w:t>
      </w:r>
    </w:p>
    <w:p w14:paraId="1E11E997" w14:textId="77777777" w:rsidR="00904E88" w:rsidRPr="00074BDC" w:rsidRDefault="00904E88" w:rsidP="00074BDC">
      <w:pPr>
        <w:pStyle w:val="ListParagraph"/>
        <w:numPr>
          <w:ilvl w:val="0"/>
          <w:numId w:val="7"/>
        </w:numPr>
        <w:spacing w:line="240" w:lineRule="auto"/>
        <w:rPr>
          <w:sz w:val="28"/>
          <w:szCs w:val="28"/>
        </w:rPr>
      </w:pPr>
      <w:r w:rsidRPr="00074BDC">
        <w:rPr>
          <w:b/>
          <w:bCs/>
          <w:sz w:val="28"/>
          <w:szCs w:val="28"/>
        </w:rPr>
        <w:t>Sales Growth Opportunity:</w:t>
      </w:r>
      <w:r w:rsidRPr="00074BDC">
        <w:rPr>
          <w:sz w:val="28"/>
          <w:szCs w:val="28"/>
        </w:rPr>
        <w:t xml:space="preserve"> Investigate the factors behind sales fluctuations, particularly the February decline and October drop, to identify opportunities for targeted promotions and strategies that can stabilize and increase revenue. </w:t>
      </w:r>
    </w:p>
    <w:p w14:paraId="303B0A6B" w14:textId="77777777" w:rsidR="00904E88" w:rsidRPr="00074BDC" w:rsidRDefault="00904E88" w:rsidP="00074BDC">
      <w:pPr>
        <w:pStyle w:val="ListParagraph"/>
        <w:numPr>
          <w:ilvl w:val="0"/>
          <w:numId w:val="7"/>
        </w:numPr>
        <w:spacing w:line="240" w:lineRule="auto"/>
        <w:rPr>
          <w:sz w:val="28"/>
          <w:szCs w:val="28"/>
        </w:rPr>
      </w:pPr>
      <w:r w:rsidRPr="00074BDC">
        <w:rPr>
          <w:b/>
          <w:bCs/>
          <w:sz w:val="28"/>
          <w:szCs w:val="28"/>
        </w:rPr>
        <w:t>Product Profitability Opportunity:</w:t>
      </w:r>
      <w:r w:rsidRPr="00074BDC">
        <w:rPr>
          <w:sz w:val="28"/>
          <w:szCs w:val="28"/>
        </w:rPr>
        <w:t xml:space="preserve"> Optimize Furniture pricing, discounts, and costs to improve profit margins, while increasing focus on high-margin products in Office Supplies and Technology to maximize profitability. </w:t>
      </w:r>
    </w:p>
    <w:p w14:paraId="3C7C39FD" w14:textId="76E86FDD" w:rsidR="00904E88" w:rsidRPr="00074BDC" w:rsidRDefault="00904E88" w:rsidP="00074BDC">
      <w:pPr>
        <w:spacing w:line="240" w:lineRule="auto"/>
        <w:rPr>
          <w:b/>
          <w:bCs/>
          <w:sz w:val="32"/>
          <w:szCs w:val="32"/>
        </w:rPr>
      </w:pPr>
      <w:r w:rsidRPr="00074BDC">
        <w:rPr>
          <w:b/>
          <w:bCs/>
          <w:sz w:val="32"/>
          <w:szCs w:val="32"/>
        </w:rPr>
        <w:t>Actionable Recommendations</w:t>
      </w:r>
    </w:p>
    <w:p w14:paraId="04C96665" w14:textId="77777777" w:rsidR="00904E88" w:rsidRPr="00074BDC" w:rsidRDefault="00904E88" w:rsidP="00074BDC">
      <w:pPr>
        <w:pStyle w:val="ListParagraph"/>
        <w:numPr>
          <w:ilvl w:val="0"/>
          <w:numId w:val="8"/>
        </w:numPr>
        <w:spacing w:line="240" w:lineRule="auto"/>
        <w:rPr>
          <w:sz w:val="28"/>
          <w:szCs w:val="28"/>
        </w:rPr>
      </w:pPr>
      <w:r w:rsidRPr="00074BDC">
        <w:rPr>
          <w:b/>
          <w:bCs/>
          <w:sz w:val="28"/>
          <w:szCs w:val="28"/>
        </w:rPr>
        <w:t>Review Central Region Performance</w:t>
      </w:r>
      <w:r w:rsidRPr="00074BDC">
        <w:rPr>
          <w:sz w:val="28"/>
          <w:szCs w:val="28"/>
        </w:rPr>
        <w:br/>
        <w:t xml:space="preserve">Analyze pricing, discounts, operating costs, and product mix in the Central region to identify why high sales are not generating sufficient profit. </w:t>
      </w:r>
    </w:p>
    <w:p w14:paraId="3D69EF1B" w14:textId="77777777" w:rsidR="00904E88" w:rsidRPr="00074BDC" w:rsidRDefault="00904E88" w:rsidP="00074BDC">
      <w:pPr>
        <w:pStyle w:val="ListParagraph"/>
        <w:numPr>
          <w:ilvl w:val="0"/>
          <w:numId w:val="8"/>
        </w:numPr>
        <w:spacing w:line="240" w:lineRule="auto"/>
        <w:rPr>
          <w:sz w:val="28"/>
          <w:szCs w:val="28"/>
        </w:rPr>
      </w:pPr>
      <w:r w:rsidRPr="00074BDC">
        <w:rPr>
          <w:b/>
          <w:bCs/>
          <w:sz w:val="28"/>
          <w:szCs w:val="28"/>
        </w:rPr>
        <w:t>Optimize Furniture Pricing and Discounts</w:t>
      </w:r>
      <w:r w:rsidRPr="00074BDC">
        <w:rPr>
          <w:sz w:val="28"/>
          <w:szCs w:val="28"/>
        </w:rPr>
        <w:br/>
        <w:t xml:space="preserve">Review Furniture pricing, discount levels, and associated costs. Reduce unnecessary discounts and prioritize products with stronger profit margins. </w:t>
      </w:r>
    </w:p>
    <w:p w14:paraId="2406C46A" w14:textId="77777777" w:rsidR="00904E88" w:rsidRPr="00074BDC" w:rsidRDefault="00904E88" w:rsidP="00074BDC">
      <w:pPr>
        <w:pStyle w:val="ListParagraph"/>
        <w:numPr>
          <w:ilvl w:val="0"/>
          <w:numId w:val="8"/>
        </w:numPr>
        <w:spacing w:line="240" w:lineRule="auto"/>
        <w:rPr>
          <w:sz w:val="28"/>
          <w:szCs w:val="28"/>
        </w:rPr>
      </w:pPr>
      <w:r w:rsidRPr="00074BDC">
        <w:rPr>
          <w:b/>
          <w:bCs/>
          <w:sz w:val="28"/>
          <w:szCs w:val="28"/>
        </w:rPr>
        <w:lastRenderedPageBreak/>
        <w:t>Investigate Sales Declines</w:t>
      </w:r>
      <w:r w:rsidRPr="00074BDC">
        <w:rPr>
          <w:sz w:val="28"/>
          <w:szCs w:val="28"/>
        </w:rPr>
        <w:br/>
        <w:t xml:space="preserve">Conduct a month-by-month analysis of sales, orders, products, and regions to determine the causes of the February and October declines and develop corrective strategies. </w:t>
      </w:r>
    </w:p>
    <w:p w14:paraId="32A9D5AC" w14:textId="35B3418C" w:rsidR="00904E88" w:rsidRPr="00074BDC" w:rsidRDefault="00074BDC" w:rsidP="00074BDC">
      <w:pPr>
        <w:pStyle w:val="ListParagraph"/>
        <w:numPr>
          <w:ilvl w:val="0"/>
          <w:numId w:val="8"/>
        </w:numPr>
        <w:spacing w:line="240" w:lineRule="auto"/>
        <w:rPr>
          <w:sz w:val="28"/>
          <w:szCs w:val="28"/>
        </w:rPr>
      </w:pPr>
      <w:r w:rsidRPr="00074BDC">
        <w:rPr>
          <w:b/>
          <w:bCs/>
          <w:sz w:val="28"/>
          <w:szCs w:val="28"/>
        </w:rPr>
        <w:t>I</w:t>
      </w:r>
      <w:r w:rsidR="00904E88" w:rsidRPr="00074BDC">
        <w:rPr>
          <w:b/>
          <w:bCs/>
          <w:sz w:val="28"/>
          <w:szCs w:val="28"/>
        </w:rPr>
        <w:t>ncrease Investment in High-Margin Products</w:t>
      </w:r>
      <w:r w:rsidR="00904E88" w:rsidRPr="00074BDC">
        <w:rPr>
          <w:sz w:val="28"/>
          <w:szCs w:val="28"/>
        </w:rPr>
        <w:br/>
        <w:t xml:space="preserve">Identify the most profitable products within Office Supplies and Technology and increase their promotion, availability, and sales focus. </w:t>
      </w:r>
    </w:p>
    <w:p w14:paraId="43410795" w14:textId="703CDE66" w:rsidR="00904E88" w:rsidRPr="00074BDC" w:rsidRDefault="00904E88" w:rsidP="00074BDC">
      <w:pPr>
        <w:pStyle w:val="ListParagraph"/>
        <w:numPr>
          <w:ilvl w:val="0"/>
          <w:numId w:val="8"/>
        </w:numPr>
        <w:spacing w:line="240" w:lineRule="auto"/>
        <w:rPr>
          <w:sz w:val="28"/>
          <w:szCs w:val="28"/>
        </w:rPr>
      </w:pPr>
      <w:r w:rsidRPr="00074BDC">
        <w:rPr>
          <w:b/>
          <w:bCs/>
          <w:sz w:val="28"/>
          <w:szCs w:val="28"/>
        </w:rPr>
        <w:t>Introduce Continuous Performance Monitoring</w:t>
      </w:r>
      <w:r w:rsidR="00074BDC" w:rsidRPr="00074BDC">
        <w:rPr>
          <w:b/>
          <w:bCs/>
          <w:sz w:val="28"/>
          <w:szCs w:val="28"/>
        </w:rPr>
        <w:t xml:space="preserve">: </w:t>
      </w:r>
      <w:r w:rsidRPr="00074BDC">
        <w:rPr>
          <w:sz w:val="28"/>
          <w:szCs w:val="28"/>
        </w:rPr>
        <w:t xml:space="preserve">Track </w:t>
      </w:r>
      <w:r w:rsidRPr="00074BDC">
        <w:rPr>
          <w:b/>
          <w:bCs/>
          <w:sz w:val="28"/>
          <w:szCs w:val="28"/>
        </w:rPr>
        <w:t>Sales, Profit, and Profit Margin</w:t>
      </w:r>
      <w:r w:rsidRPr="00074BDC">
        <w:rPr>
          <w:sz w:val="28"/>
          <w:szCs w:val="28"/>
        </w:rPr>
        <w:t xml:space="preserve"> by region, category, and month through</w:t>
      </w:r>
      <w:r w:rsidR="00074BDC" w:rsidRPr="00074BDC">
        <w:rPr>
          <w:sz w:val="28"/>
          <w:szCs w:val="28"/>
        </w:rPr>
        <w:t xml:space="preserve"> </w:t>
      </w:r>
      <w:r w:rsidRPr="00074BDC">
        <w:rPr>
          <w:sz w:val="28"/>
          <w:szCs w:val="28"/>
        </w:rPr>
        <w:t>the dashboard to quickly identify declining performance and take corrective action.</w:t>
      </w:r>
    </w:p>
    <w:p w14:paraId="54181983" w14:textId="77777777" w:rsidR="00681AC6" w:rsidRPr="00074BDC" w:rsidRDefault="00681AC6" w:rsidP="00074BDC">
      <w:pPr>
        <w:spacing w:line="240" w:lineRule="auto"/>
        <w:rPr>
          <w:sz w:val="28"/>
          <w:szCs w:val="28"/>
        </w:rPr>
      </w:pPr>
    </w:p>
    <w:sectPr w:rsidR="00681AC6" w:rsidRPr="00074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7FA"/>
    <w:multiLevelType w:val="hybridMultilevel"/>
    <w:tmpl w:val="B8F0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70696"/>
    <w:multiLevelType w:val="multilevel"/>
    <w:tmpl w:val="BEFC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A3035"/>
    <w:multiLevelType w:val="multilevel"/>
    <w:tmpl w:val="59BC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44526"/>
    <w:multiLevelType w:val="hybridMultilevel"/>
    <w:tmpl w:val="CA0A5B9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4" w15:restartNumberingAfterBreak="0">
    <w:nsid w:val="52F129C9"/>
    <w:multiLevelType w:val="hybridMultilevel"/>
    <w:tmpl w:val="5916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D42492"/>
    <w:multiLevelType w:val="multilevel"/>
    <w:tmpl w:val="3F8E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346A4"/>
    <w:multiLevelType w:val="hybridMultilevel"/>
    <w:tmpl w:val="4FD88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BAC7592"/>
    <w:multiLevelType w:val="hybridMultilevel"/>
    <w:tmpl w:val="5404A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38756152">
    <w:abstractNumId w:val="3"/>
  </w:num>
  <w:num w:numId="2" w16cid:durableId="1062023649">
    <w:abstractNumId w:val="4"/>
  </w:num>
  <w:num w:numId="3" w16cid:durableId="1935747562">
    <w:abstractNumId w:val="1"/>
  </w:num>
  <w:num w:numId="4" w16cid:durableId="966355511">
    <w:abstractNumId w:val="5"/>
  </w:num>
  <w:num w:numId="5" w16cid:durableId="7562387">
    <w:abstractNumId w:val="2"/>
  </w:num>
  <w:num w:numId="6" w16cid:durableId="1037583467">
    <w:abstractNumId w:val="0"/>
  </w:num>
  <w:num w:numId="7" w16cid:durableId="1832714852">
    <w:abstractNumId w:val="7"/>
  </w:num>
  <w:num w:numId="8" w16cid:durableId="846947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AC6"/>
    <w:rsid w:val="00074BDC"/>
    <w:rsid w:val="0039681F"/>
    <w:rsid w:val="004047CF"/>
    <w:rsid w:val="0047056F"/>
    <w:rsid w:val="00561176"/>
    <w:rsid w:val="0056446D"/>
    <w:rsid w:val="00620AC4"/>
    <w:rsid w:val="00681AC6"/>
    <w:rsid w:val="00904E88"/>
    <w:rsid w:val="0097596D"/>
    <w:rsid w:val="009C7629"/>
    <w:rsid w:val="009E0C8E"/>
    <w:rsid w:val="00C3449B"/>
    <w:rsid w:val="00D35F32"/>
    <w:rsid w:val="00FE2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C71E"/>
  <w15:chartTrackingRefBased/>
  <w15:docId w15:val="{13755A23-2B39-4807-AA9B-5AAED9DB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AC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81AC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81AC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81AC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81AC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1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AC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81AC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81AC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81AC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81AC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1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AC6"/>
    <w:rPr>
      <w:rFonts w:eastAsiaTheme="majorEastAsia" w:cstheme="majorBidi"/>
      <w:color w:val="272727" w:themeColor="text1" w:themeTint="D8"/>
    </w:rPr>
  </w:style>
  <w:style w:type="paragraph" w:styleId="Title">
    <w:name w:val="Title"/>
    <w:basedOn w:val="Normal"/>
    <w:next w:val="Normal"/>
    <w:link w:val="TitleChar"/>
    <w:uiPriority w:val="10"/>
    <w:qFormat/>
    <w:rsid w:val="00681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AC6"/>
    <w:pPr>
      <w:spacing w:before="160"/>
      <w:jc w:val="center"/>
    </w:pPr>
    <w:rPr>
      <w:i/>
      <w:iCs/>
      <w:color w:val="404040" w:themeColor="text1" w:themeTint="BF"/>
    </w:rPr>
  </w:style>
  <w:style w:type="character" w:customStyle="1" w:styleId="QuoteChar">
    <w:name w:val="Quote Char"/>
    <w:basedOn w:val="DefaultParagraphFont"/>
    <w:link w:val="Quote"/>
    <w:uiPriority w:val="29"/>
    <w:rsid w:val="00681AC6"/>
    <w:rPr>
      <w:i/>
      <w:iCs/>
      <w:color w:val="404040" w:themeColor="text1" w:themeTint="BF"/>
    </w:rPr>
  </w:style>
  <w:style w:type="paragraph" w:styleId="ListParagraph">
    <w:name w:val="List Paragraph"/>
    <w:basedOn w:val="Normal"/>
    <w:uiPriority w:val="34"/>
    <w:qFormat/>
    <w:rsid w:val="00681AC6"/>
    <w:pPr>
      <w:ind w:left="720"/>
      <w:contextualSpacing/>
    </w:pPr>
  </w:style>
  <w:style w:type="character" w:styleId="IntenseEmphasis">
    <w:name w:val="Intense Emphasis"/>
    <w:basedOn w:val="DefaultParagraphFont"/>
    <w:uiPriority w:val="21"/>
    <w:qFormat/>
    <w:rsid w:val="00681AC6"/>
    <w:rPr>
      <w:i/>
      <w:iCs/>
      <w:color w:val="2E74B5" w:themeColor="accent1" w:themeShade="BF"/>
    </w:rPr>
  </w:style>
  <w:style w:type="paragraph" w:styleId="IntenseQuote">
    <w:name w:val="Intense Quote"/>
    <w:basedOn w:val="Normal"/>
    <w:next w:val="Normal"/>
    <w:link w:val="IntenseQuoteChar"/>
    <w:uiPriority w:val="30"/>
    <w:qFormat/>
    <w:rsid w:val="00681A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1AC6"/>
    <w:rPr>
      <w:i/>
      <w:iCs/>
      <w:color w:val="2E74B5" w:themeColor="accent1" w:themeShade="BF"/>
    </w:rPr>
  </w:style>
  <w:style w:type="character" w:styleId="IntenseReference">
    <w:name w:val="Intense Reference"/>
    <w:basedOn w:val="DefaultParagraphFont"/>
    <w:uiPriority w:val="32"/>
    <w:qFormat/>
    <w:rsid w:val="00681A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2026-08-12T12:47:00Z</dcterms:created>
  <dcterms:modified xsi:type="dcterms:W3CDTF">2026-08-13T10:17:00Z</dcterms:modified>
</cp:coreProperties>
</file>