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9272A" w14:textId="4C49B84F" w:rsidR="006D2AF0" w:rsidRPr="00A00ABD" w:rsidRDefault="006D2AF0" w:rsidP="00A00ABD">
      <w:pPr>
        <w:pStyle w:val="NormalWeb"/>
        <w:jc w:val="both"/>
        <w:rPr>
          <w:b/>
          <w:bCs/>
        </w:rPr>
      </w:pPr>
      <w:r w:rsidRPr="00A00ABD">
        <w:rPr>
          <w:b/>
          <w:bCs/>
        </w:rPr>
        <w:t>Additional Files 2: Supplementary Figures</w:t>
      </w:r>
    </w:p>
    <w:p w14:paraId="03AFC2D5" w14:textId="2FFF328E" w:rsidR="005F32BC" w:rsidRPr="005918A8" w:rsidRDefault="005F32BC" w:rsidP="00A00ABD">
      <w:pPr>
        <w:pStyle w:val="NormalWeb"/>
        <w:jc w:val="center"/>
      </w:pPr>
      <w:r w:rsidRPr="005918A8">
        <w:rPr>
          <w:noProof/>
        </w:rPr>
        <w:drawing>
          <wp:inline distT="0" distB="0" distL="0" distR="0" wp14:anchorId="6C433CE3" wp14:editId="304186D5">
            <wp:extent cx="5241073" cy="5241073"/>
            <wp:effectExtent l="0" t="0" r="4445" b="4445"/>
            <wp:docPr id="1401578308" name="Picture 1" descr="A graph of different types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78308" name="Picture 1" descr="A graph of different types of numbe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625" cy="52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C57A" w14:textId="0616922E" w:rsidR="005918A8" w:rsidRPr="005918A8" w:rsidRDefault="005918A8" w:rsidP="00A00ABD">
      <w:pPr>
        <w:pStyle w:val="NormalWeb"/>
        <w:jc w:val="both"/>
      </w:pPr>
      <w:r w:rsidRPr="005918A8">
        <w:rPr>
          <w:b/>
          <w:bCs/>
          <w:u w:val="single"/>
        </w:rPr>
        <w:t>Supplementary Figure S1:</w:t>
      </w:r>
      <w:r w:rsidRPr="005918A8">
        <w:rPr>
          <w:b/>
          <w:bCs/>
        </w:rPr>
        <w:t xml:space="preserve"> Comparison of type I error rate under the null of no direct effect for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bSup>
      </m:oMath>
      <w:r w:rsidRPr="005918A8">
        <w:rPr>
          <w:b/>
          <w:bCs/>
        </w:rPr>
        <w:t xml:space="preserve"> and t-test</w:t>
      </w:r>
      <w:r>
        <w:rPr>
          <w:b/>
          <w:bCs/>
        </w:rPr>
        <w:t xml:space="preserve">. </w:t>
      </w:r>
      <w:r w:rsidRPr="005918A8">
        <w:t xml:space="preserve">Empirical type I error rates estimated from null simulations (no direct </w:t>
      </w:r>
      <m:oMath>
        <m:r>
          <w:rPr>
            <w:rFonts w:ascii="Cambria Math" w:hAnsi="Cambria Math"/>
          </w:rPr>
          <m:t>X→Y</m:t>
        </m:r>
      </m:oMath>
      <w:r w:rsidRPr="005918A8">
        <w:t xml:space="preserve"> effect) across a broad range of confounding strengths and per-group sample sizes. The y-axis shows the proportion of rejected tests for 10,000 replicates at the nominal </w:t>
      </w:r>
      <m:oMath>
        <m:r>
          <w:rPr>
            <w:rFonts w:ascii="Cambria Math" w:hAnsi="Cambria Math"/>
          </w:rPr>
          <m:t>α=0.05</m:t>
        </m:r>
      </m:oMath>
      <w:r w:rsidRPr="005918A8">
        <w:t xml:space="preserve"> level. The x-axis shows equal per-group sample sizes 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 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5, 10, 50, 100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5918A8">
        <w:t xml:space="preserve">). Columns correspond to increasing </w:t>
      </w:r>
      <m:oMath>
        <m:r>
          <m:rPr>
            <m:nor/>
          </m:rPr>
          <w:rPr>
            <w:i/>
            <w:iCs/>
          </w:rPr>
          <m:t>X–M </m:t>
        </m:r>
      </m:oMath>
      <w:r w:rsidRPr="005918A8">
        <w:t>effect magnitude (</w:t>
      </w:r>
      <m:oMath>
        <m:r>
          <w:rPr>
            <w:rFonts w:ascii="Cambria Math" w:hAnsi="Cambria Math"/>
          </w:rPr>
          <m:t>b∈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0, 0.01, 0.2, 0.5, 1, 1.5, 2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5918A8">
        <w:t xml:space="preserve">), and rows correspond to increasing </w:t>
      </w:r>
      <m:oMath>
        <m:r>
          <m:rPr>
            <m:nor/>
          </m:rPr>
          <w:rPr>
            <w:i/>
            <w:iCs/>
          </w:rPr>
          <m:t>M–Y</m:t>
        </m:r>
      </m:oMath>
      <w:r w:rsidRPr="005918A8">
        <w:t xml:space="preserve"> effect magnitude (</w:t>
      </w:r>
      <m:oMath>
        <m:r>
          <w:rPr>
            <w:rFonts w:ascii="Cambria Math" w:hAnsi="Cambria Math"/>
          </w:rPr>
          <m:t>d∈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0, 0.2, 0.5, 1, 1.5, 2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5918A8">
        <w:t>).</w:t>
      </w:r>
    </w:p>
    <w:p w14:paraId="1B7AB4E3" w14:textId="3D61951F" w:rsidR="005918A8" w:rsidRPr="005918A8" w:rsidRDefault="005918A8" w:rsidP="00A00ABD">
      <w:pPr>
        <w:pStyle w:val="NormalWeb"/>
        <w:jc w:val="both"/>
      </w:pPr>
      <w:r w:rsidRPr="005918A8">
        <w:t>Colors compare the adjusted</w:t>
      </w:r>
      <w:r w:rsidRPr="005918A8">
        <w:rPr>
          <w:b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5918A8">
        <w:t xml:space="preserve"> test and the classical two-sample </w:t>
      </w:r>
      <w:r w:rsidRPr="005918A8">
        <w:rPr>
          <w:i/>
          <w:iCs/>
        </w:rPr>
        <w:t>t-test</w:t>
      </w:r>
      <w:r w:rsidRPr="005918A8">
        <w:t xml:space="preserve">. The solid red horizontal lines </w:t>
      </w:r>
      <w:proofErr w:type="gramStart"/>
      <w:r w:rsidRPr="005918A8">
        <w:t>marks</w:t>
      </w:r>
      <w:proofErr w:type="gramEnd"/>
      <w:r w:rsidRPr="005918A8">
        <w:t xml:space="preserve"> the nominal type I error rate (0.05), and the dashed black lines indicates the lower bound of the corresponding binomial confidence interval.</w:t>
      </w:r>
    </w:p>
    <w:p w14:paraId="4D7A1A97" w14:textId="1F7DEC37" w:rsidR="005918A8" w:rsidRPr="005918A8" w:rsidRDefault="00000000" w:rsidP="00A00ABD">
      <w:pPr>
        <w:pStyle w:val="NormalWeb"/>
        <w:jc w:val="both"/>
      </w:pP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 </m:t>
        </m:r>
      </m:oMath>
      <w:r w:rsidR="005918A8" w:rsidRPr="005918A8">
        <w:t>test maintains stable and controlled type I error across all examined parameter combinations. Across weak confounding (</w:t>
      </w:r>
      <m:oMath>
        <m:r>
          <w:rPr>
            <w:rFonts w:ascii="Cambria Math" w:hAnsi="Cambria Math"/>
          </w:rPr>
          <m:t>b≤0.5</m:t>
        </m:r>
      </m:oMath>
      <w:r w:rsidR="005918A8" w:rsidRPr="005918A8">
        <w:t>), both methods maintain Type I error near the nominal level. As confounding strengthens (</w:t>
      </w:r>
      <m:oMath>
        <m:r>
          <w:rPr>
            <w:rFonts w:ascii="Cambria Math" w:hAnsi="Cambria Math"/>
          </w:rPr>
          <m:t>b≥1</m:t>
        </m:r>
      </m:oMath>
      <w:r w:rsidR="005918A8" w:rsidRPr="005918A8">
        <w:t>), the t-test becomes increasingly conservative.</w:t>
      </w:r>
    </w:p>
    <w:p w14:paraId="5252D7EB" w14:textId="1C252904" w:rsidR="00351BC4" w:rsidRPr="00351BC4" w:rsidRDefault="00351BC4" w:rsidP="00A00ABD">
      <w:pPr>
        <w:pStyle w:val="NormalWeb"/>
        <w:jc w:val="both"/>
      </w:pPr>
      <w:r w:rsidRPr="00351BC4">
        <w:rPr>
          <w:u w:val="single"/>
        </w:rPr>
        <w:t>Accessibility caption:</w:t>
      </w:r>
      <w:r w:rsidRPr="00351BC4">
        <w:t xml:space="preserve"> Grid of line plots showing type I error rates across different confounding strengths and sample sizes. Columns vary the </w:t>
      </w:r>
      <m:oMath>
        <m:r>
          <m:rPr>
            <m:nor/>
          </m:rPr>
          <w:rPr>
            <w:i/>
            <w:iCs/>
          </w:rPr>
          <m:t>X–M</m:t>
        </m:r>
      </m:oMath>
      <w:r w:rsidRPr="00351BC4">
        <w:t xml:space="preserve"> effect b, and rows vary the </w:t>
      </w:r>
      <m:oMath>
        <m:r>
          <m:rPr>
            <m:nor/>
          </m:rPr>
          <w:rPr>
            <w:i/>
            <w:iCs/>
          </w:rPr>
          <m:t>M–Y</m:t>
        </m:r>
      </m:oMath>
      <w:r w:rsidRPr="00351BC4">
        <w:t xml:space="preserve"> effect d. Line colors compare the adjusted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351BC4">
        <w:t xml:space="preserve"> test and the t-test. Horizontal red lines mark the 0.05 level. The adjusted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351BC4">
        <w:t xml:space="preserve"> test stays near 0.05 across settings.</w:t>
      </w:r>
    </w:p>
    <w:p w14:paraId="6D046601" w14:textId="77777777" w:rsidR="0063288F" w:rsidRPr="005918A8" w:rsidRDefault="0063288F" w:rsidP="00A00AB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11DCFF" w14:textId="4E1F68F5" w:rsidR="000030A0" w:rsidRDefault="000030A0" w:rsidP="0077392E">
      <w:pPr>
        <w:jc w:val="center"/>
        <w:rPr>
          <w:rFonts w:ascii="Times New Roman" w:hAnsi="Times New Roman" w:cs="Times New Roman"/>
          <w:sz w:val="24"/>
          <w:szCs w:val="24"/>
        </w:rPr>
      </w:pPr>
      <w:r w:rsidRPr="005918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0A673B" wp14:editId="6C988DBC">
            <wp:extent cx="7254556" cy="2647602"/>
            <wp:effectExtent l="0" t="0" r="0" b="0"/>
            <wp:docPr id="43535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50900" name="Picture 4353509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5993" cy="268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1F2F" w14:textId="3991DCFA" w:rsidR="003E2B82" w:rsidRPr="003E2B82" w:rsidRDefault="003E2B82" w:rsidP="00A00ABD">
      <w:pPr>
        <w:jc w:val="both"/>
        <w:rPr>
          <w:rFonts w:ascii="Times New Roman" w:hAnsi="Times New Roman" w:cs="Times New Roman"/>
          <w:sz w:val="24"/>
          <w:szCs w:val="24"/>
        </w:rPr>
      </w:pPr>
      <w:r w:rsidRPr="003E2B82">
        <w:rPr>
          <w:rFonts w:ascii="Times New Roman" w:hAnsi="Times New Roman" w:cs="Times New Roman"/>
          <w:b/>
          <w:bCs/>
          <w:sz w:val="24"/>
          <w:szCs w:val="24"/>
          <w:u w:val="single"/>
        </w:rPr>
        <w:t>Supplementary Figure S2:</w:t>
      </w:r>
      <w:r w:rsidRPr="003E2B82">
        <w:rPr>
          <w:rFonts w:ascii="Times New Roman" w:hAnsi="Times New Roman" w:cs="Times New Roman"/>
          <w:b/>
          <w:bCs/>
          <w:sz w:val="24"/>
          <w:szCs w:val="24"/>
        </w:rPr>
        <w:t xml:space="preserve"> Empirical power under extended parameter settings and comparison with the t-test.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2B82">
        <w:rPr>
          <w:rFonts w:ascii="Times New Roman" w:hAnsi="Times New Roman" w:cs="Times New Roman"/>
          <w:sz w:val="24"/>
          <w:szCs w:val="24"/>
        </w:rPr>
        <w:t xml:space="preserve">Empirical rejection rates from simulations with a direct </w:t>
      </w:r>
      <m:oMath>
        <m:r>
          <w:rPr>
            <w:rFonts w:ascii="Cambria Math" w:hAnsi="Cambria Math" w:cs="Times New Roman"/>
            <w:sz w:val="24"/>
            <w:szCs w:val="24"/>
          </w:rPr>
          <m:t>X→Y</m:t>
        </m:r>
      </m:oMath>
      <w:r w:rsidRPr="003E2B82">
        <w:rPr>
          <w:rFonts w:ascii="Times New Roman" w:hAnsi="Times New Roman" w:cs="Times New Roman"/>
          <w:sz w:val="24"/>
          <w:szCs w:val="24"/>
        </w:rPr>
        <w:t xml:space="preserve"> effect, shown across a broad range of sample sizes and confounding strengths. The y-axis shows the proportion of replicates with </w:t>
      </w:r>
      <m:oMath>
        <m:r>
          <w:rPr>
            <w:rFonts w:ascii="Cambria Math" w:hAnsi="Cambria Math" w:cs="Times New Roman"/>
            <w:sz w:val="24"/>
            <w:szCs w:val="24"/>
          </w:rPr>
          <m:t>p&lt;0.05</m:t>
        </m:r>
      </m:oMath>
      <w:r w:rsidRPr="003E2B82">
        <w:rPr>
          <w:rFonts w:ascii="Times New Roman" w:hAnsi="Times New Roman" w:cs="Times New Roman"/>
          <w:sz w:val="24"/>
          <w:szCs w:val="24"/>
        </w:rPr>
        <w:t xml:space="preserve"> (power). The x-axis and marker colors denote group 0 and 1 sample size, respectively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lit/>
          </m:rPr>
          <w:rPr>
            <w:rFonts w:ascii="Cambria Math" w:hAnsi="Cambria Math" w:cs="Times New Roman"/>
            <w:sz w:val="24"/>
            <w:szCs w:val="24"/>
          </w:rPr>
          <m:t>∈{</m:t>
        </m:r>
        <m:r>
          <w:rPr>
            <w:rFonts w:ascii="Cambria Math" w:hAnsi="Cambria Math" w:cs="Times New Roman"/>
            <w:sz w:val="24"/>
            <w:szCs w:val="24"/>
          </w:rPr>
          <m:t>5, 10, 20, 50, 100</m:t>
        </m:r>
        <m:r>
          <m:rPr>
            <m:lit/>
          </m:rPr>
          <w:rPr>
            <w:rFonts w:ascii="Cambria Math" w:hAnsi="Cambria Math" w:cs="Times New Roman"/>
            <w:sz w:val="24"/>
            <w:szCs w:val="24"/>
          </w:rPr>
          <m:t>}</m:t>
        </m:r>
      </m:oMath>
      <w:r w:rsidRPr="003E2B82">
        <w:rPr>
          <w:rFonts w:ascii="Times New Roman" w:hAnsi="Times New Roman" w:cs="Times New Roman"/>
          <w:sz w:val="24"/>
          <w:szCs w:val="24"/>
        </w:rPr>
        <w:t xml:space="preserve">). Point shape distinguishes methods with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bSup>
      </m:oMath>
      <w:r w:rsidRPr="003E2B82">
        <w:rPr>
          <w:rFonts w:ascii="Times New Roman" w:hAnsi="Times New Roman" w:cs="Times New Roman"/>
          <w:sz w:val="24"/>
          <w:szCs w:val="24"/>
        </w:rPr>
        <w:t xml:space="preserve"> as the circles. </w:t>
      </w:r>
    </w:p>
    <w:p w14:paraId="58F81900" w14:textId="26C15ABA" w:rsidR="003E2B82" w:rsidRPr="003E2B82" w:rsidRDefault="003E2B82" w:rsidP="00A00ABD">
      <w:pPr>
        <w:jc w:val="both"/>
        <w:rPr>
          <w:rFonts w:ascii="Times New Roman" w:hAnsi="Times New Roman" w:cs="Times New Roman"/>
          <w:sz w:val="24"/>
          <w:szCs w:val="24"/>
        </w:rPr>
      </w:pPr>
      <w:r w:rsidRPr="003E2B82">
        <w:rPr>
          <w:rFonts w:ascii="Times New Roman" w:hAnsi="Times New Roman" w:cs="Times New Roman"/>
          <w:sz w:val="24"/>
          <w:szCs w:val="24"/>
        </w:rPr>
        <w:t>Panels (a–c) correspond to increasing direct-effect multipliers (</w:t>
      </w:r>
      <m:oMath>
        <m:r>
          <w:rPr>
            <w:rFonts w:ascii="Cambria Math" w:hAnsi="Cambria Math" w:cs="Times New Roman"/>
            <w:sz w:val="24"/>
            <w:szCs w:val="24"/>
          </w:rPr>
          <m:t>k=1, 3, 9</m:t>
        </m:r>
      </m:oMath>
      <w:r w:rsidRPr="003E2B82">
        <w:rPr>
          <w:rFonts w:ascii="Times New Roman" w:hAnsi="Times New Roman" w:cs="Times New Roman"/>
          <w:sz w:val="24"/>
          <w:szCs w:val="24"/>
        </w:rPr>
        <w:t xml:space="preserve">). Within each panel, columns vary the strength of the </w:t>
      </w:r>
      <m:oMath>
        <m:r>
          <w:rPr>
            <w:rFonts w:ascii="Cambria Math" w:hAnsi="Cambria Math" w:cs="Times New Roman"/>
            <w:sz w:val="24"/>
            <w:szCs w:val="24"/>
          </w:rPr>
          <m:t>X→M</m:t>
        </m:r>
      </m:oMath>
      <w:r w:rsidRPr="003E2B82">
        <w:rPr>
          <w:rFonts w:ascii="Times New Roman" w:hAnsi="Times New Roman" w:cs="Times New Roman"/>
          <w:sz w:val="24"/>
          <w:szCs w:val="24"/>
        </w:rPr>
        <w:t xml:space="preserve"> association (</w:t>
      </w:r>
      <m:oMath>
        <m:r>
          <w:rPr>
            <w:rFonts w:ascii="Cambria Math" w:hAnsi="Cambria Math" w:cs="Times New Roman"/>
            <w:sz w:val="24"/>
            <w:szCs w:val="24"/>
          </w:rPr>
          <m:t>b∈</m:t>
        </m:r>
        <m:r>
          <m:rPr>
            <m:lit/>
          </m:rPr>
          <w:rPr>
            <w:rFonts w:ascii="Cambria Math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0.2, 0.5, 1, 2</m:t>
        </m:r>
        <m:r>
          <m:rPr>
            <m:lit/>
          </m:rPr>
          <w:rPr>
            <w:rFonts w:ascii="Cambria Math" w:hAnsi="Cambria Math" w:cs="Times New Roman"/>
            <w:sz w:val="24"/>
            <w:szCs w:val="24"/>
          </w:rPr>
          <m:t>}</m:t>
        </m:r>
      </m:oMath>
      <w:r w:rsidRPr="003E2B82">
        <w:rPr>
          <w:rFonts w:ascii="Times New Roman" w:hAnsi="Times New Roman" w:cs="Times New Roman"/>
          <w:sz w:val="24"/>
          <w:szCs w:val="24"/>
        </w:rPr>
        <w:t xml:space="preserve">), and rows vary the </w:t>
      </w:r>
      <m:oMath>
        <m:r>
          <w:rPr>
            <w:rFonts w:ascii="Cambria Math" w:hAnsi="Cambria Math" w:cs="Times New Roman"/>
            <w:sz w:val="24"/>
            <w:szCs w:val="24"/>
          </w:rPr>
          <m:t>M→Y</m:t>
        </m:r>
      </m:oMath>
      <w:r w:rsidRPr="003E2B82">
        <w:rPr>
          <w:rFonts w:ascii="Times New Roman" w:hAnsi="Times New Roman" w:cs="Times New Roman"/>
          <w:sz w:val="24"/>
          <w:szCs w:val="24"/>
        </w:rPr>
        <w:t xml:space="preserve"> effect size (</w:t>
      </w:r>
      <m:oMath>
        <m:r>
          <w:rPr>
            <w:rFonts w:ascii="Cambria Math" w:hAnsi="Cambria Math" w:cs="Times New Roman"/>
            <w:sz w:val="24"/>
            <w:szCs w:val="24"/>
          </w:rPr>
          <m:t>d∈</m:t>
        </m:r>
        <m:r>
          <m:rPr>
            <m:lit/>
          </m:rPr>
          <w:rPr>
            <w:rFonts w:ascii="Cambria Math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0.2, 0.5, 1, 2</m:t>
        </m:r>
        <m:r>
          <m:rPr>
            <m:lit/>
          </m:rPr>
          <w:rPr>
            <w:rFonts w:ascii="Cambria Math" w:hAnsi="Cambria Math" w:cs="Times New Roman"/>
            <w:sz w:val="24"/>
            <w:szCs w:val="24"/>
          </w:rPr>
          <m:t>}</m:t>
        </m:r>
      </m:oMath>
      <w:r w:rsidRPr="003E2B82">
        <w:rPr>
          <w:rFonts w:ascii="Times New Roman" w:hAnsi="Times New Roman" w:cs="Times New Roman"/>
          <w:sz w:val="24"/>
          <w:szCs w:val="24"/>
        </w:rPr>
        <w:t xml:space="preserve">). Each point is based on 10,000 simulated datasets. Across settings, power increased with larger direct effects, stronger </w:t>
      </w:r>
      <m:oMath>
        <m:r>
          <w:rPr>
            <w:rFonts w:ascii="Cambria Math" w:hAnsi="Cambria Math" w:cs="Times New Roman"/>
            <w:sz w:val="24"/>
            <w:szCs w:val="24"/>
          </w:rPr>
          <m:t>M→Y</m:t>
        </m:r>
      </m:oMath>
      <w:r w:rsidRPr="003E2B82">
        <w:rPr>
          <w:rFonts w:ascii="Times New Roman" w:hAnsi="Times New Roman" w:cs="Times New Roman"/>
          <w:sz w:val="24"/>
          <w:szCs w:val="24"/>
        </w:rPr>
        <w:t xml:space="preserve"> associations, and larger sample sizes. The adjusted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 </m:t>
        </m:r>
      </m:oMath>
      <w:r w:rsidRPr="003E2B82">
        <w:rPr>
          <w:rFonts w:ascii="Times New Roman" w:hAnsi="Times New Roman" w:cs="Times New Roman"/>
          <w:sz w:val="24"/>
          <w:szCs w:val="24"/>
        </w:rPr>
        <w:t xml:space="preserve">test demonstrates comparable power relative to the </w:t>
      </w:r>
      <w:r w:rsidRPr="003E2B82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3E2B82">
        <w:rPr>
          <w:rFonts w:ascii="Times New Roman" w:hAnsi="Times New Roman" w:cs="Times New Roman"/>
          <w:sz w:val="24"/>
          <w:szCs w:val="24"/>
        </w:rPr>
        <w:t>-test throughout the parameter space (overlapping in nearly all instances).</w:t>
      </w:r>
    </w:p>
    <w:p w14:paraId="36F821EB" w14:textId="43307ECC" w:rsidR="003E2B82" w:rsidRPr="005918A8" w:rsidRDefault="003E2B82" w:rsidP="00A00ABD">
      <w:pPr>
        <w:jc w:val="both"/>
        <w:rPr>
          <w:rFonts w:ascii="Times New Roman" w:hAnsi="Times New Roman" w:cs="Times New Roman"/>
          <w:sz w:val="24"/>
          <w:szCs w:val="24"/>
        </w:rPr>
      </w:pPr>
      <w:r w:rsidRPr="003E2B82">
        <w:rPr>
          <w:rFonts w:ascii="Times New Roman" w:hAnsi="Times New Roman" w:cs="Times New Roman"/>
          <w:sz w:val="24"/>
          <w:szCs w:val="24"/>
          <w:u w:val="single"/>
        </w:rPr>
        <w:t>Accessibility caption:</w:t>
      </w:r>
      <w:r w:rsidRPr="003E2B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3E2B82">
        <w:rPr>
          <w:rFonts w:ascii="Times New Roman" w:hAnsi="Times New Roman" w:cs="Times New Roman"/>
          <w:sz w:val="24"/>
          <w:szCs w:val="24"/>
        </w:rPr>
        <w:t xml:space="preserve">ine plots showing statistical power across parameter combinations. Panels correspond to increasing direct-effect strength. Within each panel, columns vary the X–M effect b and rows vary the M–Y effect d. The x-axis shows group 0 sample sizes, and different colors represent group 1 sample sizes. Point shapes compare the adjusted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bSup>
      </m:oMath>
      <w:r w:rsidRPr="003E2B82">
        <w:rPr>
          <w:rFonts w:ascii="Times New Roman" w:hAnsi="Times New Roman" w:cs="Times New Roman"/>
          <w:sz w:val="24"/>
          <w:szCs w:val="24"/>
        </w:rPr>
        <w:t xml:space="preserve"> test and the t-test. Power increases with stronger direct effects and larger sample sizes.</w:t>
      </w:r>
    </w:p>
    <w:sectPr w:rsidR="003E2B82" w:rsidRPr="005918A8" w:rsidSect="003E2B8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BCB"/>
    <w:rsid w:val="000030A0"/>
    <w:rsid w:val="00351BC4"/>
    <w:rsid w:val="00386F6D"/>
    <w:rsid w:val="003E2B82"/>
    <w:rsid w:val="005918A8"/>
    <w:rsid w:val="005F32BC"/>
    <w:rsid w:val="00607BCB"/>
    <w:rsid w:val="0063288F"/>
    <w:rsid w:val="006D2AF0"/>
    <w:rsid w:val="0077392E"/>
    <w:rsid w:val="007C4061"/>
    <w:rsid w:val="00885C33"/>
    <w:rsid w:val="00A0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9BB84"/>
  <w15:chartTrackingRefBased/>
  <w15:docId w15:val="{87BFB500-3F29-48D2-829E-DDC3E21E2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atex-mathml">
    <w:name w:val="katex-mathml"/>
    <w:basedOn w:val="DefaultParagraphFont"/>
    <w:rsid w:val="00885C33"/>
  </w:style>
  <w:style w:type="character" w:customStyle="1" w:styleId="mord">
    <w:name w:val="mord"/>
    <w:basedOn w:val="DefaultParagraphFont"/>
    <w:rsid w:val="00885C33"/>
  </w:style>
  <w:style w:type="character" w:customStyle="1" w:styleId="mrel">
    <w:name w:val="mrel"/>
    <w:basedOn w:val="DefaultParagraphFont"/>
    <w:rsid w:val="00885C33"/>
  </w:style>
  <w:style w:type="paragraph" w:styleId="NormalWeb">
    <w:name w:val="Normal (Web)"/>
    <w:basedOn w:val="Normal"/>
    <w:uiPriority w:val="99"/>
    <w:semiHidden/>
    <w:unhideWhenUsed/>
    <w:rsid w:val="00885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476</Words>
  <Characters>2599</Characters>
  <Application>Microsoft Office Word</Application>
  <DocSecurity>0</DocSecurity>
  <Lines>36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Hamidi, Bashir Mark</dc:creator>
  <cp:keywords/>
  <dc:description/>
  <cp:lastModifiedBy>Bashir Hamidi</cp:lastModifiedBy>
  <cp:revision>10</cp:revision>
  <dcterms:created xsi:type="dcterms:W3CDTF">2026-03-11T02:45:00Z</dcterms:created>
  <dcterms:modified xsi:type="dcterms:W3CDTF">2026-03-13T16:29:00Z</dcterms:modified>
</cp:coreProperties>
</file>