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98CBB" w14:textId="57EB45D6" w:rsidR="00236EAC" w:rsidRPr="00891713" w:rsidRDefault="00245DFB" w:rsidP="005A3F54">
      <w:pPr>
        <w:spacing w:after="240"/>
        <w:rPr>
          <w:rFonts w:ascii="Times New Roman" w:hAnsi="Times New Roman" w:cs="Times New Roman"/>
          <w:sz w:val="24"/>
          <w:szCs w:val="24"/>
        </w:rPr>
      </w:pPr>
      <w:r w:rsidRPr="00891713">
        <w:rPr>
          <w:rFonts w:ascii="Times New Roman" w:hAnsi="Times New Roman" w:cs="Times New Roman"/>
          <w:sz w:val="24"/>
          <w:szCs w:val="24"/>
        </w:rPr>
        <w:t xml:space="preserve">The dataset collects all the information about the population and location of defined London boroughs, customer zones, and CLCs, about the distances between each CLC to each customer zone, about the unit price of AVs </w:t>
      </w:r>
      <w:r w:rsidR="005A3F54">
        <w:rPr>
          <w:rFonts w:ascii="Times New Roman" w:hAnsi="Times New Roman" w:cs="Times New Roman"/>
          <w:sz w:val="24"/>
          <w:szCs w:val="24"/>
        </w:rPr>
        <w:t xml:space="preserve">(Autonomous Vehicles) </w:t>
      </w:r>
      <w:r w:rsidRPr="00891713">
        <w:rPr>
          <w:rFonts w:ascii="Times New Roman" w:hAnsi="Times New Roman" w:cs="Times New Roman"/>
          <w:sz w:val="24"/>
          <w:szCs w:val="24"/>
        </w:rPr>
        <w:t>and TVs</w:t>
      </w:r>
      <w:r w:rsidR="005A3F54">
        <w:rPr>
          <w:rFonts w:ascii="Times New Roman" w:hAnsi="Times New Roman" w:cs="Times New Roman"/>
          <w:sz w:val="24"/>
          <w:szCs w:val="24"/>
        </w:rPr>
        <w:t xml:space="preserve"> (Traditional Vehicles)</w:t>
      </w:r>
      <w:r w:rsidRPr="00891713">
        <w:rPr>
          <w:rFonts w:ascii="Times New Roman" w:hAnsi="Times New Roman" w:cs="Times New Roman"/>
          <w:sz w:val="24"/>
          <w:szCs w:val="24"/>
        </w:rPr>
        <w:t>, about the delivery cost, and about the CO</w:t>
      </w:r>
      <w:r w:rsidRPr="00891713">
        <w:rPr>
          <w:rFonts w:ascii="Times New Roman" w:hAnsi="Times New Roman" w:cs="Times New Roman"/>
          <w:sz w:val="24"/>
          <w:szCs w:val="24"/>
          <w:vertAlign w:val="subscript"/>
        </w:rPr>
        <w:t>2</w:t>
      </w:r>
      <w:r w:rsidRPr="00891713">
        <w:rPr>
          <w:rFonts w:ascii="Times New Roman" w:hAnsi="Times New Roman" w:cs="Times New Roman"/>
          <w:sz w:val="24"/>
          <w:szCs w:val="24"/>
        </w:rPr>
        <w:t xml:space="preserve"> emission and its cost. All these data are used as inputs </w:t>
      </w:r>
      <w:r w:rsidR="005A3F54">
        <w:rPr>
          <w:rFonts w:ascii="Times New Roman" w:hAnsi="Times New Roman" w:cs="Times New Roman"/>
          <w:sz w:val="24"/>
          <w:szCs w:val="24"/>
        </w:rPr>
        <w:t>for</w:t>
      </w:r>
      <w:r w:rsidRPr="00891713">
        <w:rPr>
          <w:rFonts w:ascii="Times New Roman" w:hAnsi="Times New Roman" w:cs="Times New Roman"/>
          <w:sz w:val="24"/>
          <w:szCs w:val="24"/>
        </w:rPr>
        <w:t xml:space="preserve"> the mathematical model, and the information about</w:t>
      </w:r>
      <w:r w:rsidR="00891713" w:rsidRPr="00891713">
        <w:rPr>
          <w:rFonts w:ascii="Times New Roman" w:hAnsi="Times New Roman" w:cs="Times New Roman"/>
          <w:sz w:val="24"/>
          <w:szCs w:val="24"/>
        </w:rPr>
        <w:t xml:space="preserve"> the</w:t>
      </w:r>
      <w:r w:rsidRPr="00891713">
        <w:rPr>
          <w:rFonts w:ascii="Times New Roman" w:hAnsi="Times New Roman" w:cs="Times New Roman"/>
          <w:sz w:val="24"/>
          <w:szCs w:val="24"/>
        </w:rPr>
        <w:t xml:space="preserve"> population is also used for calculating the infection risk during pandemic situations.</w:t>
      </w:r>
      <w:r w:rsidR="00C27C2B" w:rsidRPr="00891713">
        <w:rPr>
          <w:rFonts w:ascii="Times New Roman" w:hAnsi="Times New Roman" w:cs="Times New Roman"/>
          <w:sz w:val="24"/>
          <w:szCs w:val="24"/>
        </w:rPr>
        <w:t xml:space="preserve"> The detaile</w:t>
      </w:r>
      <w:r w:rsidR="00891713" w:rsidRPr="00891713">
        <w:rPr>
          <w:rFonts w:ascii="Times New Roman" w:hAnsi="Times New Roman" w:cs="Times New Roman"/>
          <w:sz w:val="24"/>
          <w:szCs w:val="24"/>
        </w:rPr>
        <w:t xml:space="preserve">d data </w:t>
      </w:r>
      <w:r w:rsidR="00DB0A98">
        <w:rPr>
          <w:rFonts w:ascii="Times New Roman" w:hAnsi="Times New Roman" w:cs="Times New Roman"/>
          <w:sz w:val="24"/>
          <w:szCs w:val="24"/>
        </w:rPr>
        <w:t>and all re</w:t>
      </w:r>
      <w:bookmarkStart w:id="0" w:name="_GoBack"/>
      <w:bookmarkEnd w:id="0"/>
      <w:r w:rsidR="00DB0A98">
        <w:rPr>
          <w:rFonts w:ascii="Times New Roman" w:hAnsi="Times New Roman" w:cs="Times New Roman"/>
          <w:sz w:val="24"/>
          <w:szCs w:val="24"/>
        </w:rPr>
        <w:t xml:space="preserve">ferences </w:t>
      </w:r>
      <w:r w:rsidR="00891713" w:rsidRPr="00891713">
        <w:rPr>
          <w:rFonts w:ascii="Times New Roman" w:hAnsi="Times New Roman" w:cs="Times New Roman"/>
          <w:sz w:val="24"/>
          <w:szCs w:val="24"/>
        </w:rPr>
        <w:t>can be found in the Excel file ‘Data for research’.</w:t>
      </w:r>
    </w:p>
    <w:p w14:paraId="293A389D" w14:textId="1B28C930" w:rsidR="00245DFB" w:rsidRPr="00891713" w:rsidRDefault="00C27C2B" w:rsidP="00891713">
      <w:pPr>
        <w:widowControl/>
        <w:spacing w:after="240"/>
        <w:rPr>
          <w:rFonts w:ascii="Times New Roman" w:eastAsia="DengXian" w:hAnsi="Times New Roman" w:cs="Times New Roman"/>
          <w:color w:val="000000"/>
          <w:kern w:val="0"/>
          <w:sz w:val="24"/>
          <w:szCs w:val="24"/>
        </w:rPr>
      </w:pPr>
      <w:r w:rsidRPr="00891713">
        <w:rPr>
          <w:rFonts w:ascii="Times New Roman" w:eastAsia="DengXian" w:hAnsi="Times New Roman" w:cs="Times New Roman"/>
          <w:color w:val="000000"/>
          <w:kern w:val="0"/>
          <w:sz w:val="24"/>
          <w:szCs w:val="24"/>
        </w:rPr>
        <w:t>First, t</w:t>
      </w:r>
      <w:r w:rsidR="00245DFB" w:rsidRPr="00245DFB">
        <w:rPr>
          <w:rFonts w:ascii="Times New Roman" w:eastAsia="DengXian" w:hAnsi="Times New Roman" w:cs="Times New Roman"/>
          <w:color w:val="000000"/>
          <w:kern w:val="0"/>
          <w:sz w:val="24"/>
          <w:szCs w:val="24"/>
        </w:rPr>
        <w:t>he sheet 'Customer zones information' lists the 91 customer zones within the Great London and each zone's details</w:t>
      </w:r>
      <w:r w:rsidR="00891713" w:rsidRPr="00891713">
        <w:rPr>
          <w:rFonts w:ascii="Times New Roman" w:eastAsia="DengXian" w:hAnsi="Times New Roman" w:cs="Times New Roman"/>
          <w:color w:val="000000"/>
          <w:kern w:val="0"/>
          <w:sz w:val="24"/>
          <w:szCs w:val="24"/>
        </w:rPr>
        <w:t xml:space="preserve"> that</w:t>
      </w:r>
      <w:r w:rsidR="00245DFB" w:rsidRPr="00245DFB">
        <w:rPr>
          <w:rFonts w:ascii="Times New Roman" w:eastAsia="DengXian" w:hAnsi="Times New Roman" w:cs="Times New Roman"/>
          <w:color w:val="000000"/>
          <w:kern w:val="0"/>
          <w:sz w:val="24"/>
          <w:szCs w:val="24"/>
        </w:rPr>
        <w:t xml:space="preserve"> includ</w:t>
      </w:r>
      <w:r w:rsidR="00891713" w:rsidRPr="00891713">
        <w:rPr>
          <w:rFonts w:ascii="Times New Roman" w:eastAsia="DengXian" w:hAnsi="Times New Roman" w:cs="Times New Roman"/>
          <w:color w:val="000000"/>
          <w:kern w:val="0"/>
          <w:sz w:val="24"/>
          <w:szCs w:val="24"/>
        </w:rPr>
        <w:t>e</w:t>
      </w:r>
      <w:r w:rsidR="00245DFB" w:rsidRPr="00245DFB">
        <w:rPr>
          <w:rFonts w:ascii="Times New Roman" w:eastAsia="DengXian" w:hAnsi="Times New Roman" w:cs="Times New Roman"/>
          <w:color w:val="000000"/>
          <w:kern w:val="0"/>
          <w:sz w:val="24"/>
          <w:szCs w:val="24"/>
        </w:rPr>
        <w:t xml:space="preserve"> the population as well as the latitudes and longitudes of the geographical center of each zone. Each zone</w:t>
      </w:r>
      <w:r w:rsidR="00891713" w:rsidRPr="00891713">
        <w:rPr>
          <w:rFonts w:ascii="Times New Roman" w:eastAsia="DengXian" w:hAnsi="Times New Roman" w:cs="Times New Roman"/>
          <w:color w:val="000000"/>
          <w:kern w:val="0"/>
          <w:sz w:val="24"/>
          <w:szCs w:val="24"/>
        </w:rPr>
        <w:t>’s</w:t>
      </w:r>
      <w:r w:rsidR="00245DFB" w:rsidRPr="00245DFB">
        <w:rPr>
          <w:rFonts w:ascii="Times New Roman" w:eastAsia="DengXian" w:hAnsi="Times New Roman" w:cs="Times New Roman"/>
          <w:color w:val="000000"/>
          <w:kern w:val="0"/>
          <w:sz w:val="24"/>
          <w:szCs w:val="24"/>
        </w:rPr>
        <w:t xml:space="preserve"> population is gained by multiplying the </w:t>
      </w:r>
      <w:r w:rsidR="00245DFB" w:rsidRPr="00891713">
        <w:rPr>
          <w:rFonts w:ascii="Times New Roman" w:eastAsia="DengXian" w:hAnsi="Times New Roman" w:cs="Times New Roman"/>
          <w:color w:val="000000"/>
          <w:kern w:val="0"/>
          <w:sz w:val="24"/>
          <w:szCs w:val="24"/>
        </w:rPr>
        <w:t>population</w:t>
      </w:r>
      <w:r w:rsidR="00245DFB" w:rsidRPr="00245DFB">
        <w:rPr>
          <w:rFonts w:ascii="Times New Roman" w:eastAsia="DengXian" w:hAnsi="Times New Roman" w:cs="Times New Roman"/>
          <w:color w:val="000000"/>
          <w:kern w:val="0"/>
          <w:sz w:val="24"/>
          <w:szCs w:val="24"/>
        </w:rPr>
        <w:t xml:space="preserve"> data in </w:t>
      </w:r>
      <w:r w:rsidR="00891713" w:rsidRPr="00891713">
        <w:rPr>
          <w:rFonts w:ascii="Times New Roman" w:eastAsia="DengXian" w:hAnsi="Times New Roman" w:cs="Times New Roman"/>
          <w:color w:val="000000"/>
          <w:kern w:val="0"/>
          <w:sz w:val="24"/>
          <w:szCs w:val="24"/>
        </w:rPr>
        <w:t xml:space="preserve">the </w:t>
      </w:r>
      <w:r w:rsidR="00245DFB" w:rsidRPr="00245DFB">
        <w:rPr>
          <w:rFonts w:ascii="Times New Roman" w:eastAsia="DengXian" w:hAnsi="Times New Roman" w:cs="Times New Roman"/>
          <w:color w:val="000000"/>
          <w:kern w:val="0"/>
          <w:sz w:val="24"/>
          <w:szCs w:val="24"/>
        </w:rPr>
        <w:t xml:space="preserve">1960s by a coefficient, which is calculated by </w:t>
      </w:r>
      <w:r w:rsidR="00245DFB" w:rsidRPr="00891713">
        <w:rPr>
          <w:rFonts w:ascii="Times New Roman" w:eastAsia="DengXian" w:hAnsi="Times New Roman" w:cs="Times New Roman"/>
          <w:color w:val="000000"/>
          <w:kern w:val="0"/>
          <w:sz w:val="24"/>
          <w:szCs w:val="24"/>
        </w:rPr>
        <w:t>dividing</w:t>
      </w:r>
      <w:r w:rsidR="00245DFB" w:rsidRPr="00245DFB">
        <w:rPr>
          <w:rFonts w:ascii="Times New Roman" w:eastAsia="DengXian" w:hAnsi="Times New Roman" w:cs="Times New Roman"/>
          <w:color w:val="000000"/>
          <w:kern w:val="0"/>
          <w:sz w:val="24"/>
          <w:szCs w:val="24"/>
        </w:rPr>
        <w:t xml:space="preserve"> the current population of a larger zone by the sum of populations of the small zones in </w:t>
      </w:r>
      <w:r w:rsidR="00BD0194">
        <w:rPr>
          <w:rFonts w:ascii="Times New Roman" w:eastAsia="DengXian" w:hAnsi="Times New Roman" w:cs="Times New Roman"/>
          <w:color w:val="000000"/>
          <w:kern w:val="0"/>
          <w:sz w:val="24"/>
          <w:szCs w:val="24"/>
        </w:rPr>
        <w:t xml:space="preserve">the </w:t>
      </w:r>
      <w:r w:rsidR="00245DFB" w:rsidRPr="00245DFB">
        <w:rPr>
          <w:rFonts w:ascii="Times New Roman" w:eastAsia="DengXian" w:hAnsi="Times New Roman" w:cs="Times New Roman"/>
          <w:color w:val="000000"/>
          <w:kern w:val="0"/>
          <w:sz w:val="24"/>
          <w:szCs w:val="24"/>
        </w:rPr>
        <w:t>1960s that comprises the large zone. Finally, the total population (</w:t>
      </w:r>
      <m:oMath>
        <m:r>
          <w:rPr>
            <w:rFonts w:ascii="Cambria Math" w:eastAsia="DengXian" w:hAnsi="Cambria Math" w:cs="Times New Roman"/>
            <w:color w:val="000000"/>
            <w:kern w:val="0"/>
            <w:sz w:val="24"/>
            <w:szCs w:val="24"/>
          </w:rPr>
          <m:t>TPop</m:t>
        </m:r>
      </m:oMath>
      <w:r w:rsidR="00245DFB" w:rsidRPr="00245DFB">
        <w:rPr>
          <w:rFonts w:ascii="Times New Roman" w:eastAsia="DengXian" w:hAnsi="Times New Roman" w:cs="Times New Roman"/>
          <w:color w:val="000000"/>
          <w:kern w:val="0"/>
          <w:sz w:val="24"/>
          <w:szCs w:val="24"/>
        </w:rPr>
        <w:t>) is calculated by adding populations of the 91 zones together.</w:t>
      </w:r>
    </w:p>
    <w:p w14:paraId="39B627D2" w14:textId="424CEB7F" w:rsidR="00245DFB" w:rsidRPr="00891713" w:rsidRDefault="00C27C2B" w:rsidP="005A3F54">
      <w:pPr>
        <w:widowControl/>
        <w:spacing w:after="240"/>
        <w:rPr>
          <w:rFonts w:ascii="Times New Roman" w:eastAsia="DengXian" w:hAnsi="Times New Roman" w:cs="Times New Roman"/>
          <w:color w:val="000000"/>
          <w:kern w:val="0"/>
          <w:sz w:val="24"/>
          <w:szCs w:val="24"/>
        </w:rPr>
      </w:pPr>
      <w:r w:rsidRPr="00891713">
        <w:rPr>
          <w:rFonts w:ascii="Times New Roman" w:eastAsia="DengXian" w:hAnsi="Times New Roman" w:cs="Times New Roman"/>
          <w:color w:val="000000"/>
          <w:kern w:val="0"/>
          <w:sz w:val="24"/>
          <w:szCs w:val="24"/>
        </w:rPr>
        <w:t>Second, i</w:t>
      </w:r>
      <w:r w:rsidR="00245DFB" w:rsidRPr="00245DFB">
        <w:rPr>
          <w:rFonts w:ascii="Times New Roman" w:eastAsia="DengXian" w:hAnsi="Times New Roman" w:cs="Times New Roman"/>
          <w:color w:val="000000"/>
          <w:kern w:val="0"/>
          <w:sz w:val="24"/>
          <w:szCs w:val="24"/>
        </w:rPr>
        <w:t xml:space="preserve">n the 'CLCs information' sheet, 20 selected CLCs are presented with their </w:t>
      </w:r>
      <w:r w:rsidR="00245DFB" w:rsidRPr="00891713">
        <w:rPr>
          <w:rFonts w:ascii="Times New Roman" w:eastAsia="DengXian" w:hAnsi="Times New Roman" w:cs="Times New Roman"/>
          <w:color w:val="000000"/>
          <w:kern w:val="0"/>
          <w:sz w:val="24"/>
          <w:szCs w:val="24"/>
        </w:rPr>
        <w:t>addresses</w:t>
      </w:r>
      <w:r w:rsidR="00245DFB" w:rsidRPr="00245DFB">
        <w:rPr>
          <w:rFonts w:ascii="Times New Roman" w:eastAsia="DengXian" w:hAnsi="Times New Roman" w:cs="Times New Roman"/>
          <w:color w:val="000000"/>
          <w:kern w:val="0"/>
          <w:sz w:val="24"/>
          <w:szCs w:val="24"/>
        </w:rPr>
        <w:t xml:space="preserve"> as well as their latitudes and longitudes. </w:t>
      </w:r>
      <w:r w:rsidRPr="00891713">
        <w:rPr>
          <w:rFonts w:ascii="Times New Roman" w:eastAsia="DengXian" w:hAnsi="Times New Roman" w:cs="Times New Roman"/>
          <w:color w:val="000000"/>
          <w:kern w:val="0"/>
          <w:sz w:val="24"/>
          <w:szCs w:val="24"/>
        </w:rPr>
        <w:t xml:space="preserve">The CLCs are the 20 largest </w:t>
      </w:r>
      <w:r w:rsidR="00B61EBF">
        <w:rPr>
          <w:rFonts w:ascii="Times New Roman" w:eastAsia="DengXian" w:hAnsi="Times New Roman" w:cs="Times New Roman"/>
          <w:color w:val="000000"/>
          <w:kern w:val="0"/>
          <w:sz w:val="24"/>
          <w:szCs w:val="24"/>
        </w:rPr>
        <w:t>distribution centers</w:t>
      </w:r>
      <w:r w:rsidRPr="00891713">
        <w:rPr>
          <w:rFonts w:ascii="Times New Roman" w:eastAsia="DengXian" w:hAnsi="Times New Roman" w:cs="Times New Roman"/>
          <w:color w:val="000000"/>
          <w:kern w:val="0"/>
          <w:sz w:val="24"/>
          <w:szCs w:val="24"/>
        </w:rPr>
        <w:t xml:space="preserve"> of a leading </w:t>
      </w:r>
      <w:r w:rsidR="005A3F54" w:rsidRPr="00891713">
        <w:rPr>
          <w:rFonts w:ascii="Times New Roman" w:eastAsia="DengXian" w:hAnsi="Times New Roman" w:cs="Times New Roman"/>
          <w:color w:val="000000"/>
          <w:kern w:val="0"/>
          <w:sz w:val="24"/>
          <w:szCs w:val="24"/>
        </w:rPr>
        <w:t>g</w:t>
      </w:r>
      <w:r w:rsidR="005A3F54">
        <w:rPr>
          <w:rFonts w:ascii="Times New Roman" w:eastAsia="DengXian" w:hAnsi="Times New Roman" w:cs="Times New Roman"/>
          <w:color w:val="000000"/>
          <w:kern w:val="0"/>
          <w:sz w:val="24"/>
          <w:szCs w:val="24"/>
        </w:rPr>
        <w:t>r</w:t>
      </w:r>
      <w:r w:rsidR="005A3F54" w:rsidRPr="00891713">
        <w:rPr>
          <w:rFonts w:ascii="Times New Roman" w:eastAsia="DengXian" w:hAnsi="Times New Roman" w:cs="Times New Roman"/>
          <w:color w:val="000000"/>
          <w:kern w:val="0"/>
          <w:sz w:val="24"/>
          <w:szCs w:val="24"/>
        </w:rPr>
        <w:t>osser</w:t>
      </w:r>
      <w:r w:rsidRPr="00891713">
        <w:rPr>
          <w:rFonts w:ascii="Times New Roman" w:eastAsia="DengXian" w:hAnsi="Times New Roman" w:cs="Times New Roman"/>
          <w:color w:val="000000"/>
          <w:kern w:val="0"/>
          <w:sz w:val="24"/>
          <w:szCs w:val="24"/>
        </w:rPr>
        <w:t xml:space="preserve"> brand within the Great London, and their locations are extracted through Google Map.</w:t>
      </w:r>
    </w:p>
    <w:p w14:paraId="1AA7241D" w14:textId="1BF337FD" w:rsidR="00C27C2B" w:rsidRPr="00891713" w:rsidRDefault="00C27C2B" w:rsidP="00891713">
      <w:pPr>
        <w:widowControl/>
        <w:spacing w:after="240"/>
        <w:rPr>
          <w:rFonts w:ascii="Times New Roman" w:eastAsia="DengXian" w:hAnsi="Times New Roman" w:cs="Times New Roman"/>
          <w:color w:val="000000"/>
          <w:kern w:val="0"/>
          <w:sz w:val="24"/>
          <w:szCs w:val="24"/>
        </w:rPr>
      </w:pPr>
      <w:r w:rsidRPr="00891713">
        <w:rPr>
          <w:rFonts w:ascii="Times New Roman" w:eastAsia="DengXian" w:hAnsi="Times New Roman" w:cs="Times New Roman"/>
          <w:color w:val="000000"/>
          <w:kern w:val="0"/>
          <w:sz w:val="24"/>
          <w:szCs w:val="24"/>
        </w:rPr>
        <w:t xml:space="preserve">Third, </w:t>
      </w:r>
      <w:r w:rsidR="00891713">
        <w:rPr>
          <w:rFonts w:ascii="Times New Roman" w:eastAsia="DengXian" w:hAnsi="Times New Roman" w:cs="Times New Roman"/>
          <w:color w:val="000000"/>
          <w:kern w:val="0"/>
          <w:sz w:val="24"/>
          <w:szCs w:val="24"/>
        </w:rPr>
        <w:t xml:space="preserve">the </w:t>
      </w:r>
      <w:r w:rsidRPr="00891713">
        <w:rPr>
          <w:rFonts w:ascii="Times New Roman" w:eastAsia="DengXian" w:hAnsi="Times New Roman" w:cs="Times New Roman"/>
          <w:color w:val="000000"/>
          <w:kern w:val="0"/>
          <w:sz w:val="24"/>
          <w:szCs w:val="24"/>
        </w:rPr>
        <w:t>s</w:t>
      </w:r>
      <w:r w:rsidR="00245DFB" w:rsidRPr="00245DFB">
        <w:rPr>
          <w:rFonts w:ascii="Times New Roman" w:eastAsia="DengXian" w:hAnsi="Times New Roman" w:cs="Times New Roman"/>
          <w:color w:val="000000"/>
          <w:kern w:val="0"/>
          <w:sz w:val="24"/>
          <w:szCs w:val="24"/>
        </w:rPr>
        <w:t xml:space="preserve">heet 'Linear distances' presents all the linear distances from </w:t>
      </w:r>
      <m:oMath>
        <m:r>
          <w:rPr>
            <w:rFonts w:ascii="Cambria Math" w:eastAsia="DengXian" w:hAnsi="Cambria Math" w:cs="Times New Roman"/>
            <w:color w:val="000000"/>
            <w:kern w:val="0"/>
            <w:sz w:val="24"/>
            <w:szCs w:val="24"/>
          </w:rPr>
          <m:t>i</m:t>
        </m:r>
      </m:oMath>
      <w:r w:rsidR="00891713" w:rsidRPr="00891713">
        <w:rPr>
          <w:rFonts w:ascii="Times New Roman" w:eastAsia="DengXian" w:hAnsi="Times New Roman" w:cs="Times New Roman"/>
          <w:color w:val="000000"/>
          <w:kern w:val="0"/>
          <w:sz w:val="24"/>
          <w:szCs w:val="24"/>
          <w:vertAlign w:val="superscript"/>
        </w:rPr>
        <w:t>th</w:t>
      </w:r>
      <w:r w:rsidR="00245DFB" w:rsidRPr="00245DFB">
        <w:rPr>
          <w:rFonts w:ascii="Times New Roman" w:eastAsia="DengXian" w:hAnsi="Times New Roman" w:cs="Times New Roman"/>
          <w:color w:val="000000"/>
          <w:kern w:val="0"/>
          <w:sz w:val="24"/>
          <w:szCs w:val="24"/>
        </w:rPr>
        <w:t xml:space="preserve"> CLC to </w:t>
      </w:r>
      <m:oMath>
        <m:r>
          <w:rPr>
            <w:rFonts w:ascii="Cambria Math" w:eastAsia="DengXian" w:hAnsi="Cambria Math" w:cs="Times New Roman"/>
            <w:color w:val="000000"/>
            <w:kern w:val="0"/>
            <w:sz w:val="24"/>
            <w:szCs w:val="24"/>
          </w:rPr>
          <m:t>j</m:t>
        </m:r>
      </m:oMath>
      <w:r w:rsidR="00245DFB" w:rsidRPr="00245DFB">
        <w:rPr>
          <w:rFonts w:ascii="Times New Roman" w:eastAsia="DengXian" w:hAnsi="Times New Roman" w:cs="Times New Roman"/>
          <w:color w:val="000000"/>
          <w:kern w:val="0"/>
          <w:sz w:val="24"/>
          <w:szCs w:val="24"/>
          <w:vertAlign w:val="superscript"/>
        </w:rPr>
        <w:t>th</w:t>
      </w:r>
      <w:r w:rsidR="00245DFB" w:rsidRPr="00245DFB">
        <w:rPr>
          <w:rFonts w:ascii="Times New Roman" w:eastAsia="DengXian" w:hAnsi="Times New Roman" w:cs="Times New Roman"/>
          <w:color w:val="000000"/>
          <w:kern w:val="0"/>
          <w:sz w:val="24"/>
          <w:szCs w:val="24"/>
        </w:rPr>
        <w:t xml:space="preserve"> customer zone</w:t>
      </w:r>
      <w:r w:rsidR="005A3F54">
        <w:rPr>
          <w:rFonts w:ascii="Times New Roman" w:eastAsia="DengXian" w:hAnsi="Times New Roman" w:cs="Times New Roman"/>
          <w:color w:val="000000"/>
          <w:kern w:val="0"/>
          <w:sz w:val="24"/>
          <w:szCs w:val="24"/>
        </w:rPr>
        <w:t>s</w:t>
      </w:r>
      <w:r w:rsidR="00245DFB" w:rsidRPr="00245DFB">
        <w:rPr>
          <w:rFonts w:ascii="Times New Roman" w:eastAsia="DengXian" w:hAnsi="Times New Roman" w:cs="Times New Roman"/>
          <w:color w:val="000000"/>
          <w:kern w:val="0"/>
          <w:sz w:val="24"/>
          <w:szCs w:val="24"/>
        </w:rPr>
        <w:t xml:space="preserve"> that are calculated according to the latitudes and longitudes of the 20 CLCs and 91 customer zones. However, to better represent the real distance of non-linear routes vehicles actually run, this research use</w:t>
      </w:r>
      <w:r w:rsidRPr="00891713">
        <w:rPr>
          <w:rFonts w:ascii="Times New Roman" w:eastAsia="DengXian" w:hAnsi="Times New Roman" w:cs="Times New Roman"/>
          <w:color w:val="000000"/>
          <w:kern w:val="0"/>
          <w:sz w:val="24"/>
          <w:szCs w:val="24"/>
        </w:rPr>
        <w:t>s</w:t>
      </w:r>
      <w:r w:rsidR="00245DFB" w:rsidRPr="00245DFB">
        <w:rPr>
          <w:rFonts w:ascii="Times New Roman" w:eastAsia="DengXian" w:hAnsi="Times New Roman" w:cs="Times New Roman"/>
          <w:color w:val="000000"/>
          <w:kern w:val="0"/>
          <w:sz w:val="24"/>
          <w:szCs w:val="24"/>
        </w:rPr>
        <w:t xml:space="preserve"> the adjusted distances that are calculated by multiplying the linear distances by an adjustment coefficient, as presented in sheet 'Adjusted distances'. Real running distances of 91 routes, from the first CLC to 91 zones </w:t>
      </w:r>
      <w:r w:rsidRPr="00891713">
        <w:rPr>
          <w:rFonts w:ascii="Times New Roman" w:eastAsia="DengXian" w:hAnsi="Times New Roman" w:cs="Times New Roman"/>
          <w:color w:val="000000"/>
          <w:kern w:val="0"/>
          <w:sz w:val="24"/>
          <w:szCs w:val="24"/>
        </w:rPr>
        <w:t>separately</w:t>
      </w:r>
      <w:r w:rsidR="00245DFB" w:rsidRPr="00245DFB">
        <w:rPr>
          <w:rFonts w:ascii="Times New Roman" w:eastAsia="DengXian" w:hAnsi="Times New Roman" w:cs="Times New Roman"/>
          <w:color w:val="000000"/>
          <w:kern w:val="0"/>
          <w:sz w:val="24"/>
          <w:szCs w:val="24"/>
        </w:rPr>
        <w:t xml:space="preserve">, are found by Google Map, then the adjustment coefficient </w:t>
      </w:r>
      <w:r w:rsidRPr="00891713">
        <w:rPr>
          <w:rFonts w:ascii="Times New Roman" w:eastAsia="DengXian" w:hAnsi="Times New Roman" w:cs="Times New Roman"/>
          <w:color w:val="000000"/>
          <w:kern w:val="0"/>
          <w:sz w:val="24"/>
          <w:szCs w:val="24"/>
        </w:rPr>
        <w:t>is</w:t>
      </w:r>
      <w:r w:rsidR="00245DFB" w:rsidRPr="00245DFB">
        <w:rPr>
          <w:rFonts w:ascii="Times New Roman" w:eastAsia="DengXian" w:hAnsi="Times New Roman" w:cs="Times New Roman"/>
          <w:color w:val="000000"/>
          <w:kern w:val="0"/>
          <w:sz w:val="24"/>
          <w:szCs w:val="24"/>
        </w:rPr>
        <w:t xml:space="preserve"> calculated as the mean value of the results obtained by </w:t>
      </w:r>
      <w:r w:rsidRPr="00891713">
        <w:rPr>
          <w:rFonts w:ascii="Times New Roman" w:eastAsia="DengXian" w:hAnsi="Times New Roman" w:cs="Times New Roman"/>
          <w:color w:val="000000"/>
          <w:kern w:val="0"/>
          <w:sz w:val="24"/>
          <w:szCs w:val="24"/>
        </w:rPr>
        <w:t>dividing</w:t>
      </w:r>
      <w:r w:rsidR="00245DFB" w:rsidRPr="00245DFB">
        <w:rPr>
          <w:rFonts w:ascii="Times New Roman" w:eastAsia="DengXian" w:hAnsi="Times New Roman" w:cs="Times New Roman"/>
          <w:color w:val="000000"/>
          <w:kern w:val="0"/>
          <w:sz w:val="24"/>
          <w:szCs w:val="24"/>
        </w:rPr>
        <w:t xml:space="preserve"> real distances of the first 61 routes by their linear distances. The real running distances of the </w:t>
      </w:r>
      <w:r w:rsidRPr="00891713">
        <w:rPr>
          <w:rFonts w:ascii="Times New Roman" w:eastAsia="DengXian" w:hAnsi="Times New Roman" w:cs="Times New Roman"/>
          <w:color w:val="000000"/>
          <w:kern w:val="0"/>
          <w:sz w:val="24"/>
          <w:szCs w:val="24"/>
        </w:rPr>
        <w:t>remaining</w:t>
      </w:r>
      <w:r w:rsidR="00245DFB" w:rsidRPr="00245DFB">
        <w:rPr>
          <w:rFonts w:ascii="Times New Roman" w:eastAsia="DengXian" w:hAnsi="Times New Roman" w:cs="Times New Roman"/>
          <w:color w:val="000000"/>
          <w:kern w:val="0"/>
          <w:sz w:val="24"/>
          <w:szCs w:val="24"/>
        </w:rPr>
        <w:t xml:space="preserve"> 30 routed are used to test the degree of confidence of the transfer coefficient by MATLAB. </w:t>
      </w:r>
      <w:r w:rsidR="00891713" w:rsidRPr="00891713">
        <w:rPr>
          <w:rFonts w:ascii="Times New Roman" w:eastAsia="DengXian" w:hAnsi="Times New Roman" w:cs="Times New Roman"/>
          <w:color w:val="000000"/>
          <w:kern w:val="0"/>
          <w:sz w:val="24"/>
          <w:szCs w:val="24"/>
        </w:rPr>
        <w:t>Fourth, t</w:t>
      </w:r>
      <w:r w:rsidR="00245DFB" w:rsidRPr="00245DFB">
        <w:rPr>
          <w:rFonts w:ascii="Times New Roman" w:eastAsia="DengXian" w:hAnsi="Times New Roman" w:cs="Times New Roman"/>
          <w:color w:val="000000"/>
          <w:kern w:val="0"/>
          <w:sz w:val="24"/>
          <w:szCs w:val="24"/>
        </w:rPr>
        <w:t xml:space="preserve">he result shows that this adjustment coefficient is efficient at the 95% confidence level. </w:t>
      </w:r>
    </w:p>
    <w:p w14:paraId="3703B692" w14:textId="5D1948C0" w:rsidR="00C27C2B" w:rsidRPr="00891713" w:rsidRDefault="00C27C2B" w:rsidP="00891713">
      <w:pPr>
        <w:widowControl/>
        <w:spacing w:after="240"/>
        <w:rPr>
          <w:rFonts w:ascii="Times New Roman" w:eastAsia="DengXian" w:hAnsi="Times New Roman" w:cs="Times New Roman"/>
          <w:color w:val="000000"/>
          <w:kern w:val="0"/>
          <w:sz w:val="24"/>
          <w:szCs w:val="24"/>
        </w:rPr>
      </w:pPr>
      <w:r w:rsidRPr="00891713">
        <w:rPr>
          <w:rFonts w:ascii="Times New Roman" w:eastAsia="DengXian" w:hAnsi="Times New Roman" w:cs="Times New Roman"/>
          <w:color w:val="000000"/>
          <w:kern w:val="0"/>
          <w:sz w:val="24"/>
          <w:szCs w:val="24"/>
        </w:rPr>
        <w:t>F</w:t>
      </w:r>
      <w:r w:rsidR="00891713" w:rsidRPr="00891713">
        <w:rPr>
          <w:rFonts w:ascii="Times New Roman" w:eastAsia="DengXian" w:hAnsi="Times New Roman" w:cs="Times New Roman"/>
          <w:color w:val="000000"/>
          <w:kern w:val="0"/>
          <w:sz w:val="24"/>
          <w:szCs w:val="24"/>
        </w:rPr>
        <w:t>if</w:t>
      </w:r>
      <w:r w:rsidRPr="00891713">
        <w:rPr>
          <w:rFonts w:ascii="Times New Roman" w:eastAsia="DengXian" w:hAnsi="Times New Roman" w:cs="Times New Roman"/>
          <w:color w:val="000000"/>
          <w:kern w:val="0"/>
          <w:sz w:val="24"/>
          <w:szCs w:val="24"/>
        </w:rPr>
        <w:t>th, i</w:t>
      </w:r>
      <w:r w:rsidRPr="00C27C2B">
        <w:rPr>
          <w:rFonts w:ascii="Times New Roman" w:eastAsia="DengXian" w:hAnsi="Times New Roman" w:cs="Times New Roman"/>
          <w:color w:val="000000"/>
          <w:kern w:val="0"/>
          <w:sz w:val="24"/>
          <w:szCs w:val="24"/>
        </w:rPr>
        <w:t xml:space="preserve">n the 'Vehicle price' sheet, the price per TV is calculated as the mean of the unit prices of </w:t>
      </w:r>
      <w:r w:rsidR="00BD0194">
        <w:rPr>
          <w:rFonts w:ascii="Times New Roman" w:eastAsia="DengXian" w:hAnsi="Times New Roman" w:cs="Times New Roman"/>
          <w:color w:val="000000"/>
          <w:kern w:val="0"/>
          <w:sz w:val="24"/>
          <w:szCs w:val="24"/>
        </w:rPr>
        <w:t xml:space="preserve">the </w:t>
      </w:r>
      <w:r w:rsidRPr="00C27C2B">
        <w:rPr>
          <w:rFonts w:ascii="Times New Roman" w:eastAsia="DengXian" w:hAnsi="Times New Roman" w:cs="Times New Roman"/>
          <w:color w:val="000000"/>
          <w:kern w:val="0"/>
          <w:sz w:val="24"/>
          <w:szCs w:val="24"/>
        </w:rPr>
        <w:t xml:space="preserve">top 7 best-selling vans in </w:t>
      </w:r>
      <w:r w:rsidR="00891713">
        <w:rPr>
          <w:rFonts w:ascii="Times New Roman" w:eastAsia="DengXian" w:hAnsi="Times New Roman" w:cs="Times New Roman"/>
          <w:color w:val="000000"/>
          <w:kern w:val="0"/>
          <w:sz w:val="24"/>
          <w:szCs w:val="24"/>
        </w:rPr>
        <w:t xml:space="preserve">the </w:t>
      </w:r>
      <w:r w:rsidRPr="00C27C2B">
        <w:rPr>
          <w:rFonts w:ascii="Times New Roman" w:eastAsia="DengXian" w:hAnsi="Times New Roman" w:cs="Times New Roman"/>
          <w:color w:val="000000"/>
          <w:kern w:val="0"/>
          <w:sz w:val="24"/>
          <w:szCs w:val="24"/>
        </w:rPr>
        <w:t xml:space="preserve">UK according to a UK van market research conducted by Commercial Fleet (2014). </w:t>
      </w:r>
      <w:r w:rsidRPr="00891713">
        <w:rPr>
          <w:rFonts w:ascii="Times New Roman" w:eastAsia="DengXian" w:hAnsi="Times New Roman" w:cs="Times New Roman"/>
          <w:color w:val="000000"/>
          <w:kern w:val="0"/>
          <w:sz w:val="24"/>
          <w:szCs w:val="24"/>
        </w:rPr>
        <w:t>While the price per AV is calculated</w:t>
      </w:r>
      <w:r w:rsidRPr="00C27C2B">
        <w:rPr>
          <w:rFonts w:ascii="Times New Roman" w:eastAsia="DengXian" w:hAnsi="Times New Roman" w:cs="Times New Roman"/>
          <w:color w:val="000000"/>
          <w:kern w:val="0"/>
          <w:sz w:val="24"/>
          <w:szCs w:val="24"/>
        </w:rPr>
        <w:t xml:space="preserve"> in the 'Vehicle price' sheet</w:t>
      </w:r>
      <w:r w:rsidRPr="00891713">
        <w:rPr>
          <w:rFonts w:ascii="Times New Roman" w:eastAsia="DengXian" w:hAnsi="Times New Roman" w:cs="Times New Roman"/>
          <w:color w:val="000000"/>
          <w:kern w:val="0"/>
          <w:sz w:val="24"/>
          <w:szCs w:val="24"/>
        </w:rPr>
        <w:t xml:space="preserve"> according to the finding of </w:t>
      </w:r>
      <w:r w:rsidRPr="00C27C2B">
        <w:rPr>
          <w:rFonts w:ascii="Times New Roman" w:eastAsia="DengXian" w:hAnsi="Times New Roman" w:cs="Times New Roman"/>
          <w:color w:val="000000"/>
          <w:kern w:val="0"/>
          <w:sz w:val="24"/>
          <w:szCs w:val="24"/>
        </w:rPr>
        <w:t>Fagnant and Kockelman (2015) that the price per AV will keep ₤10,000 higher than the price per TV in the future 15 years.</w:t>
      </w:r>
      <w:r w:rsidRPr="00891713">
        <w:rPr>
          <w:rFonts w:ascii="Times New Roman" w:eastAsia="DengXian" w:hAnsi="Times New Roman" w:cs="Times New Roman"/>
          <w:color w:val="000000"/>
          <w:kern w:val="0"/>
          <w:sz w:val="24"/>
          <w:szCs w:val="24"/>
        </w:rPr>
        <w:t xml:space="preserve"> </w:t>
      </w:r>
    </w:p>
    <w:p w14:paraId="50CD821E" w14:textId="71A252EC" w:rsidR="00C27C2B" w:rsidRPr="00891713" w:rsidRDefault="00891713" w:rsidP="00891713">
      <w:pPr>
        <w:widowControl/>
        <w:spacing w:after="240"/>
        <w:rPr>
          <w:rFonts w:ascii="Times New Roman" w:eastAsia="DengXian" w:hAnsi="Times New Roman" w:cs="Times New Roman"/>
          <w:color w:val="000000"/>
          <w:kern w:val="0"/>
          <w:sz w:val="24"/>
          <w:szCs w:val="24"/>
        </w:rPr>
      </w:pPr>
      <w:r w:rsidRPr="00891713">
        <w:rPr>
          <w:rFonts w:ascii="Times New Roman" w:eastAsia="DengXian" w:hAnsi="Times New Roman" w:cs="Times New Roman"/>
          <w:color w:val="000000"/>
          <w:kern w:val="0"/>
          <w:sz w:val="24"/>
          <w:szCs w:val="24"/>
        </w:rPr>
        <w:t>Six</w:t>
      </w:r>
      <w:r w:rsidR="00C27C2B" w:rsidRPr="00891713">
        <w:rPr>
          <w:rFonts w:ascii="Times New Roman" w:eastAsia="DengXian" w:hAnsi="Times New Roman" w:cs="Times New Roman"/>
          <w:color w:val="000000"/>
          <w:kern w:val="0"/>
          <w:sz w:val="24"/>
          <w:szCs w:val="24"/>
        </w:rPr>
        <w:t xml:space="preserve">th, </w:t>
      </w:r>
      <w:r>
        <w:rPr>
          <w:rFonts w:ascii="Times New Roman" w:eastAsia="DengXian" w:hAnsi="Times New Roman" w:cs="Times New Roman"/>
          <w:color w:val="000000"/>
          <w:kern w:val="0"/>
          <w:sz w:val="24"/>
          <w:szCs w:val="24"/>
        </w:rPr>
        <w:t xml:space="preserve">the </w:t>
      </w:r>
      <w:r w:rsidR="00C27C2B" w:rsidRPr="00891713">
        <w:rPr>
          <w:rFonts w:ascii="Times New Roman" w:eastAsia="DengXian" w:hAnsi="Times New Roman" w:cs="Times New Roman"/>
          <w:color w:val="000000"/>
          <w:kern w:val="0"/>
          <w:sz w:val="24"/>
          <w:szCs w:val="24"/>
        </w:rPr>
        <w:t>s</w:t>
      </w:r>
      <w:r w:rsidR="00C27C2B" w:rsidRPr="00C27C2B">
        <w:rPr>
          <w:rFonts w:ascii="Times New Roman" w:eastAsia="DengXian" w:hAnsi="Times New Roman" w:cs="Times New Roman"/>
          <w:color w:val="000000"/>
          <w:kern w:val="0"/>
          <w:sz w:val="24"/>
          <w:szCs w:val="24"/>
        </w:rPr>
        <w:t>heet 'CO2 emission summari</w:t>
      </w:r>
      <w:r>
        <w:rPr>
          <w:rFonts w:ascii="Times New Roman" w:eastAsia="DengXian" w:hAnsi="Times New Roman" w:cs="Times New Roman"/>
          <w:color w:val="000000"/>
          <w:kern w:val="0"/>
          <w:sz w:val="24"/>
          <w:szCs w:val="24"/>
        </w:rPr>
        <w:t>z</w:t>
      </w:r>
      <w:r w:rsidR="00C27C2B" w:rsidRPr="00C27C2B">
        <w:rPr>
          <w:rFonts w:ascii="Times New Roman" w:eastAsia="DengXian" w:hAnsi="Times New Roman" w:cs="Times New Roman"/>
          <w:color w:val="000000"/>
          <w:kern w:val="0"/>
          <w:sz w:val="24"/>
          <w:szCs w:val="24"/>
        </w:rPr>
        <w:t>es the CO2 price and the CO2 emission for AVs using electric</w:t>
      </w:r>
      <w:r w:rsidR="00C27C2B" w:rsidRPr="00891713">
        <w:rPr>
          <w:rFonts w:ascii="Times New Roman" w:eastAsia="DengXian" w:hAnsi="Times New Roman" w:cs="Times New Roman"/>
          <w:color w:val="000000"/>
          <w:kern w:val="0"/>
          <w:sz w:val="24"/>
          <w:szCs w:val="24"/>
        </w:rPr>
        <w:t>it</w:t>
      </w:r>
      <w:r w:rsidR="00C27C2B" w:rsidRPr="00C27C2B">
        <w:rPr>
          <w:rFonts w:ascii="Times New Roman" w:eastAsia="DengXian" w:hAnsi="Times New Roman" w:cs="Times New Roman"/>
          <w:color w:val="000000"/>
          <w:kern w:val="0"/>
          <w:sz w:val="24"/>
          <w:szCs w:val="24"/>
        </w:rPr>
        <w:t>y and TVs using gasoline.</w:t>
      </w:r>
    </w:p>
    <w:p w14:paraId="726B828B" w14:textId="726EF29D" w:rsidR="00245DFB" w:rsidRDefault="00C27C2B" w:rsidP="00891713">
      <w:pPr>
        <w:widowControl/>
        <w:spacing w:after="240"/>
        <w:rPr>
          <w:rFonts w:ascii="Times New Roman" w:eastAsia="DengXian" w:hAnsi="Times New Roman" w:cs="Times New Roman"/>
          <w:color w:val="000000"/>
          <w:kern w:val="0"/>
          <w:sz w:val="24"/>
          <w:szCs w:val="24"/>
        </w:rPr>
      </w:pPr>
      <w:r w:rsidRPr="00891713">
        <w:rPr>
          <w:rFonts w:ascii="Times New Roman" w:hAnsi="Times New Roman" w:cs="Times New Roman"/>
          <w:sz w:val="24"/>
          <w:szCs w:val="24"/>
        </w:rPr>
        <w:t xml:space="preserve">Finally, </w:t>
      </w:r>
      <w:r w:rsidR="00891713">
        <w:rPr>
          <w:rFonts w:ascii="Times New Roman" w:hAnsi="Times New Roman" w:cs="Times New Roman"/>
          <w:sz w:val="24"/>
          <w:szCs w:val="24"/>
        </w:rPr>
        <w:t xml:space="preserve">the </w:t>
      </w:r>
      <w:r w:rsidRPr="00891713">
        <w:rPr>
          <w:rFonts w:ascii="Times New Roman" w:eastAsia="DengXian" w:hAnsi="Times New Roman" w:cs="Times New Roman"/>
          <w:color w:val="000000"/>
          <w:kern w:val="0"/>
          <w:sz w:val="24"/>
          <w:szCs w:val="24"/>
        </w:rPr>
        <w:t>sheet 'Delivery cost' summari</w:t>
      </w:r>
      <w:r w:rsidR="00891713">
        <w:rPr>
          <w:rFonts w:ascii="Times New Roman" w:eastAsia="DengXian" w:hAnsi="Times New Roman" w:cs="Times New Roman"/>
          <w:color w:val="000000"/>
          <w:kern w:val="0"/>
          <w:sz w:val="24"/>
          <w:szCs w:val="24"/>
        </w:rPr>
        <w:t>z</w:t>
      </w:r>
      <w:r w:rsidRPr="00891713">
        <w:rPr>
          <w:rFonts w:ascii="Times New Roman" w:eastAsia="DengXian" w:hAnsi="Times New Roman" w:cs="Times New Roman"/>
          <w:color w:val="000000"/>
          <w:kern w:val="0"/>
          <w:sz w:val="24"/>
          <w:szCs w:val="24"/>
        </w:rPr>
        <w:t>es the relative costs for delivery for AVs using electricity and TVs using gasoline.</w:t>
      </w:r>
    </w:p>
    <w:p w14:paraId="0A4F8049" w14:textId="44697A51" w:rsidR="005A3F54" w:rsidRPr="00D4707B" w:rsidRDefault="00D4707B" w:rsidP="00891713">
      <w:pPr>
        <w:widowControl/>
        <w:spacing w:after="240"/>
        <w:rPr>
          <w:rFonts w:ascii="Times New Roman" w:eastAsia="DengXian" w:hAnsi="Times New Roman" w:cs="Times New Roman"/>
          <w:b/>
          <w:bCs/>
          <w:color w:val="000000"/>
          <w:kern w:val="0"/>
          <w:sz w:val="24"/>
          <w:szCs w:val="24"/>
        </w:rPr>
      </w:pPr>
      <w:r>
        <w:rPr>
          <w:rFonts w:ascii="Times New Roman" w:eastAsia="DengXian" w:hAnsi="Times New Roman" w:cs="Times New Roman"/>
          <w:b/>
          <w:bCs/>
          <w:color w:val="000000"/>
          <w:kern w:val="0"/>
          <w:sz w:val="24"/>
          <w:szCs w:val="24"/>
        </w:rPr>
        <w:lastRenderedPageBreak/>
        <w:t>References</w:t>
      </w:r>
    </w:p>
    <w:p w14:paraId="3D7016B1" w14:textId="75053C1E" w:rsidR="00523B1E" w:rsidRPr="00523B1E" w:rsidRDefault="00523B1E" w:rsidP="00523B1E">
      <w:pPr>
        <w:widowControl/>
        <w:spacing w:after="240"/>
        <w:ind w:left="360" w:hangingChars="150" w:hanging="360"/>
        <w:rPr>
          <w:rFonts w:ascii="Times New Roman" w:eastAsia="DengXian" w:hAnsi="Times New Roman" w:cs="Times New Roman"/>
          <w:kern w:val="0"/>
          <w:sz w:val="24"/>
          <w:szCs w:val="24"/>
          <w:lang w:val="en-GB"/>
        </w:rPr>
      </w:pPr>
      <w:r>
        <w:rPr>
          <w:rFonts w:ascii="Times New Roman" w:eastAsia="DengXian" w:hAnsi="Times New Roman" w:cs="Times New Roman" w:hint="eastAsia"/>
          <w:color w:val="000000"/>
          <w:kern w:val="0"/>
          <w:sz w:val="24"/>
          <w:szCs w:val="24"/>
        </w:rPr>
        <w:t>C</w:t>
      </w:r>
      <w:r>
        <w:rPr>
          <w:rFonts w:ascii="Times New Roman" w:eastAsia="DengXian" w:hAnsi="Times New Roman" w:cs="Times New Roman"/>
          <w:color w:val="000000"/>
          <w:kern w:val="0"/>
          <w:sz w:val="24"/>
          <w:szCs w:val="24"/>
        </w:rPr>
        <w:t>ommercial Fleet, 2014. The UK van market.</w:t>
      </w:r>
      <w:r>
        <w:rPr>
          <w:rFonts w:ascii="Times New Roman" w:eastAsia="DengXian" w:hAnsi="Times New Roman" w:cs="Times New Roman" w:hint="eastAsia"/>
          <w:color w:val="000000"/>
          <w:kern w:val="0"/>
          <w:sz w:val="24"/>
          <w:szCs w:val="24"/>
        </w:rPr>
        <w:t xml:space="preserve"> </w:t>
      </w:r>
      <w:r w:rsidRPr="00523B1E">
        <w:rPr>
          <w:rFonts w:ascii="Times New Roman" w:eastAsia="DengXian" w:hAnsi="Times New Roman" w:cs="Times New Roman"/>
          <w:color w:val="000000"/>
          <w:kern w:val="0"/>
          <w:sz w:val="24"/>
          <w:szCs w:val="24"/>
        </w:rPr>
        <w:t>&lt;</w:t>
      </w:r>
      <w:hyperlink r:id="rId6" w:history="1">
        <w:r w:rsidRPr="00523B1E">
          <w:rPr>
            <w:rStyle w:val="Hyperlink"/>
            <w:rFonts w:ascii="Times New Roman" w:eastAsia="DengXian" w:hAnsi="Times New Roman" w:cs="Times New Roman"/>
            <w:kern w:val="0"/>
            <w:sz w:val="24"/>
            <w:szCs w:val="24"/>
            <w:u w:val="none"/>
            <w:lang w:val="en-GB"/>
          </w:rPr>
          <w:t>https://www.commercialfleet.org/sales-figures/the-uk-van-market</w:t>
        </w:r>
      </w:hyperlink>
      <w:r w:rsidRPr="00523B1E">
        <w:rPr>
          <w:rFonts w:ascii="Times New Roman" w:eastAsia="DengXian" w:hAnsi="Times New Roman" w:cs="Times New Roman"/>
          <w:kern w:val="0"/>
          <w:sz w:val="24"/>
          <w:szCs w:val="24"/>
          <w:lang w:val="en-GB"/>
        </w:rPr>
        <w:t>&gt;</w:t>
      </w:r>
    </w:p>
    <w:p w14:paraId="10235527" w14:textId="77777777" w:rsidR="00523B1E" w:rsidRDefault="00523B1E" w:rsidP="00523B1E">
      <w:pPr>
        <w:widowControl/>
        <w:spacing w:after="240"/>
        <w:ind w:left="360" w:hangingChars="150" w:hanging="360"/>
        <w:rPr>
          <w:rFonts w:ascii="Times New Roman" w:eastAsia="DengXian" w:hAnsi="Times New Roman" w:cs="Times New Roman"/>
          <w:color w:val="000000"/>
          <w:kern w:val="0"/>
          <w:sz w:val="24"/>
          <w:szCs w:val="24"/>
        </w:rPr>
      </w:pPr>
      <w:r w:rsidRPr="00523B1E">
        <w:rPr>
          <w:rFonts w:ascii="Times New Roman" w:eastAsia="DengXian" w:hAnsi="Times New Roman" w:cs="Times New Roman"/>
          <w:color w:val="000000"/>
          <w:kern w:val="0"/>
          <w:sz w:val="24"/>
          <w:szCs w:val="24"/>
        </w:rPr>
        <w:t>Fagnant, D.J. and Kockelman, K., 2015. Preparing a nation for autonomous vehicles: opportunities, barriers and policy recommendations. Transportation Research Part A: Policy and Practice, 77, pp.167-181.</w:t>
      </w:r>
    </w:p>
    <w:p w14:paraId="25EB5F39" w14:textId="77777777" w:rsidR="00523B1E" w:rsidRPr="00523B1E" w:rsidRDefault="00523B1E" w:rsidP="00523B1E">
      <w:pPr>
        <w:widowControl/>
        <w:spacing w:after="240"/>
        <w:ind w:left="360" w:hangingChars="150" w:hanging="360"/>
        <w:rPr>
          <w:rFonts w:ascii="Times New Roman" w:eastAsia="DengXian" w:hAnsi="Times New Roman" w:cs="Times New Roman"/>
          <w:color w:val="000000"/>
          <w:kern w:val="0"/>
          <w:sz w:val="24"/>
          <w:szCs w:val="24"/>
          <w:lang w:val="en-GB"/>
        </w:rPr>
      </w:pPr>
    </w:p>
    <w:sectPr w:rsidR="00523B1E" w:rsidRPr="00523B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EF190" w14:textId="77777777" w:rsidR="00825ED3" w:rsidRDefault="00825ED3" w:rsidP="00245DFB">
      <w:r>
        <w:separator/>
      </w:r>
    </w:p>
  </w:endnote>
  <w:endnote w:type="continuationSeparator" w:id="0">
    <w:p w14:paraId="4D577AA2" w14:textId="77777777" w:rsidR="00825ED3" w:rsidRDefault="00825ED3" w:rsidP="0024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B4908" w14:textId="77777777" w:rsidR="00825ED3" w:rsidRDefault="00825ED3" w:rsidP="00245DFB">
      <w:r>
        <w:separator/>
      </w:r>
    </w:p>
  </w:footnote>
  <w:footnote w:type="continuationSeparator" w:id="0">
    <w:p w14:paraId="6CD557FE" w14:textId="77777777" w:rsidR="00825ED3" w:rsidRDefault="00825ED3" w:rsidP="00245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43"/>
    <w:rsid w:val="00236EAC"/>
    <w:rsid w:val="00245DFB"/>
    <w:rsid w:val="00523B1E"/>
    <w:rsid w:val="005A3F54"/>
    <w:rsid w:val="005C5CE3"/>
    <w:rsid w:val="00825ED3"/>
    <w:rsid w:val="00891713"/>
    <w:rsid w:val="00A84643"/>
    <w:rsid w:val="00AF2474"/>
    <w:rsid w:val="00B202DF"/>
    <w:rsid w:val="00B61EBF"/>
    <w:rsid w:val="00BC5277"/>
    <w:rsid w:val="00BD0194"/>
    <w:rsid w:val="00C27C2B"/>
    <w:rsid w:val="00D4707B"/>
    <w:rsid w:val="00DB0A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CDECF"/>
  <w15:chartTrackingRefBased/>
  <w15:docId w15:val="{1C63B53C-9CAD-483D-92C0-81757858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DF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245DFB"/>
    <w:rPr>
      <w:sz w:val="18"/>
      <w:szCs w:val="18"/>
    </w:rPr>
  </w:style>
  <w:style w:type="paragraph" w:styleId="Footer">
    <w:name w:val="footer"/>
    <w:basedOn w:val="Normal"/>
    <w:link w:val="FooterChar"/>
    <w:uiPriority w:val="99"/>
    <w:unhideWhenUsed/>
    <w:rsid w:val="00245DF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245DFB"/>
    <w:rPr>
      <w:sz w:val="18"/>
      <w:szCs w:val="18"/>
    </w:rPr>
  </w:style>
  <w:style w:type="character" w:styleId="Hyperlink">
    <w:name w:val="Hyperlink"/>
    <w:basedOn w:val="DefaultParagraphFont"/>
    <w:uiPriority w:val="99"/>
    <w:unhideWhenUsed/>
    <w:rsid w:val="00523B1E"/>
    <w:rPr>
      <w:color w:val="0563C1"/>
      <w:u w:val="single"/>
    </w:rPr>
  </w:style>
  <w:style w:type="character" w:customStyle="1" w:styleId="UnresolvedMention">
    <w:name w:val="Unresolved Mention"/>
    <w:basedOn w:val="DefaultParagraphFont"/>
    <w:uiPriority w:val="99"/>
    <w:semiHidden/>
    <w:unhideWhenUsed/>
    <w:rsid w:val="00523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2372">
      <w:bodyDiv w:val="1"/>
      <w:marLeft w:val="0"/>
      <w:marRight w:val="0"/>
      <w:marTop w:val="0"/>
      <w:marBottom w:val="0"/>
      <w:divBdr>
        <w:top w:val="none" w:sz="0" w:space="0" w:color="auto"/>
        <w:left w:val="none" w:sz="0" w:space="0" w:color="auto"/>
        <w:bottom w:val="none" w:sz="0" w:space="0" w:color="auto"/>
        <w:right w:val="none" w:sz="0" w:space="0" w:color="auto"/>
      </w:divBdr>
    </w:div>
    <w:div w:id="328798499">
      <w:bodyDiv w:val="1"/>
      <w:marLeft w:val="0"/>
      <w:marRight w:val="0"/>
      <w:marTop w:val="0"/>
      <w:marBottom w:val="0"/>
      <w:divBdr>
        <w:top w:val="none" w:sz="0" w:space="0" w:color="auto"/>
        <w:left w:val="none" w:sz="0" w:space="0" w:color="auto"/>
        <w:bottom w:val="none" w:sz="0" w:space="0" w:color="auto"/>
        <w:right w:val="none" w:sz="0" w:space="0" w:color="auto"/>
      </w:divBdr>
    </w:div>
    <w:div w:id="686565156">
      <w:bodyDiv w:val="1"/>
      <w:marLeft w:val="0"/>
      <w:marRight w:val="0"/>
      <w:marTop w:val="0"/>
      <w:marBottom w:val="0"/>
      <w:divBdr>
        <w:top w:val="none" w:sz="0" w:space="0" w:color="auto"/>
        <w:left w:val="none" w:sz="0" w:space="0" w:color="auto"/>
        <w:bottom w:val="none" w:sz="0" w:space="0" w:color="auto"/>
        <w:right w:val="none" w:sz="0" w:space="0" w:color="auto"/>
      </w:divBdr>
    </w:div>
    <w:div w:id="700739185">
      <w:bodyDiv w:val="1"/>
      <w:marLeft w:val="0"/>
      <w:marRight w:val="0"/>
      <w:marTop w:val="0"/>
      <w:marBottom w:val="0"/>
      <w:divBdr>
        <w:top w:val="none" w:sz="0" w:space="0" w:color="auto"/>
        <w:left w:val="none" w:sz="0" w:space="0" w:color="auto"/>
        <w:bottom w:val="none" w:sz="0" w:space="0" w:color="auto"/>
        <w:right w:val="none" w:sz="0" w:space="0" w:color="auto"/>
      </w:divBdr>
    </w:div>
    <w:div w:id="863519423">
      <w:bodyDiv w:val="1"/>
      <w:marLeft w:val="0"/>
      <w:marRight w:val="0"/>
      <w:marTop w:val="0"/>
      <w:marBottom w:val="0"/>
      <w:divBdr>
        <w:top w:val="none" w:sz="0" w:space="0" w:color="auto"/>
        <w:left w:val="none" w:sz="0" w:space="0" w:color="auto"/>
        <w:bottom w:val="none" w:sz="0" w:space="0" w:color="auto"/>
        <w:right w:val="none" w:sz="0" w:space="0" w:color="auto"/>
      </w:divBdr>
    </w:div>
    <w:div w:id="1126585444">
      <w:bodyDiv w:val="1"/>
      <w:marLeft w:val="0"/>
      <w:marRight w:val="0"/>
      <w:marTop w:val="0"/>
      <w:marBottom w:val="0"/>
      <w:divBdr>
        <w:top w:val="none" w:sz="0" w:space="0" w:color="auto"/>
        <w:left w:val="none" w:sz="0" w:space="0" w:color="auto"/>
        <w:bottom w:val="none" w:sz="0" w:space="0" w:color="auto"/>
        <w:right w:val="none" w:sz="0" w:space="0" w:color="auto"/>
      </w:divBdr>
    </w:div>
    <w:div w:id="1201896472">
      <w:bodyDiv w:val="1"/>
      <w:marLeft w:val="0"/>
      <w:marRight w:val="0"/>
      <w:marTop w:val="0"/>
      <w:marBottom w:val="0"/>
      <w:divBdr>
        <w:top w:val="none" w:sz="0" w:space="0" w:color="auto"/>
        <w:left w:val="none" w:sz="0" w:space="0" w:color="auto"/>
        <w:bottom w:val="none" w:sz="0" w:space="0" w:color="auto"/>
        <w:right w:val="none" w:sz="0" w:space="0" w:color="auto"/>
      </w:divBdr>
    </w:div>
    <w:div w:id="1533033540">
      <w:bodyDiv w:val="1"/>
      <w:marLeft w:val="0"/>
      <w:marRight w:val="0"/>
      <w:marTop w:val="0"/>
      <w:marBottom w:val="0"/>
      <w:divBdr>
        <w:top w:val="none" w:sz="0" w:space="0" w:color="auto"/>
        <w:left w:val="none" w:sz="0" w:space="0" w:color="auto"/>
        <w:bottom w:val="none" w:sz="0" w:space="0" w:color="auto"/>
        <w:right w:val="none" w:sz="0" w:space="0" w:color="auto"/>
      </w:divBdr>
    </w:div>
    <w:div w:id="1718778789">
      <w:bodyDiv w:val="1"/>
      <w:marLeft w:val="0"/>
      <w:marRight w:val="0"/>
      <w:marTop w:val="0"/>
      <w:marBottom w:val="0"/>
      <w:divBdr>
        <w:top w:val="none" w:sz="0" w:space="0" w:color="auto"/>
        <w:left w:val="none" w:sz="0" w:space="0" w:color="auto"/>
        <w:bottom w:val="none" w:sz="0" w:space="0" w:color="auto"/>
        <w:right w:val="none" w:sz="0" w:space="0" w:color="auto"/>
      </w:divBdr>
    </w:div>
    <w:div w:id="17817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mercialfleet.org/sales-figures/the-uk-van-mark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FENG</dc:creator>
  <cp:keywords/>
  <dc:description/>
  <cp:lastModifiedBy>Mahdi Bashiri</cp:lastModifiedBy>
  <cp:revision>10</cp:revision>
  <dcterms:created xsi:type="dcterms:W3CDTF">2020-05-28T21:26:00Z</dcterms:created>
  <dcterms:modified xsi:type="dcterms:W3CDTF">2020-05-29T12:09:00Z</dcterms:modified>
</cp:coreProperties>
</file>