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color w:val="1B6B45"/>
          <w:spacing w:val="40"/>
          <w:sz w:val="20"/>
          <w:szCs w:val="20"/>
        </w:rPr>
        <w:t>NATIONAL RENEWABLE ENERGY PLATFORM</w:t>
      </w:r>
    </w:p>
    <w:p>
      <w:pPr>
        <w:pStyle w:val="Normal"/>
        <w:pBdr>
          <w:bottom w:val="single" w:sz="12" w:space="10" w:color="1B6B45"/>
        </w:pBdr>
        <w:spacing w:before="0" w:after="320"/>
        <w:rPr/>
      </w:pPr>
      <w:r>
        <w:rPr>
          <w:color w:val="5A5A5A"/>
          <w:sz w:val="24"/>
          <w:szCs w:val="24"/>
        </w:rPr>
        <w:t>Agri-Energy Desk Digital Platform</w:t>
      </w:r>
    </w:p>
    <w:p>
      <w:pPr>
        <w:pStyle w:val="Title"/>
        <w:rPr/>
      </w:pPr>
      <w:r>
        <w:rPr/>
        <w:t>Enhanced Platform Development Report</w:t>
      </w:r>
    </w:p>
    <w:p>
      <w:pPr>
        <w:pStyle w:val="Subtitle"/>
        <w:rPr/>
      </w:pPr>
      <w:r>
        <w:rPr/>
        <w:t>Enhancement of the Agri-Energy Desk Platform to Incorporate the Recommendations of the Final Approved Software Requirements Specification</w:t>
      </w:r>
    </w:p>
    <w:p>
      <w:pPr>
        <w:pStyle w:val="Normal"/>
        <w:spacing w:before="0" w:after="400"/>
        <w:rPr/>
      </w:pPr>
      <w:r>
        <w:rPr/>
      </w:r>
    </w:p>
    <w:tbl>
      <w:tblPr>
        <w:tblW w:w="9360" w:type="dxa"/>
        <w:jc w:val="left"/>
        <w:tblInd w:w="0" w:type="dxa"/>
        <w:tblLayout w:type="fixed"/>
        <w:tblCellMar>
          <w:top w:w="80" w:type="dxa"/>
          <w:left w:w="110" w:type="dxa"/>
          <w:bottom w:w="80" w:type="dxa"/>
          <w:right w:w="110" w:type="dxa"/>
        </w:tblCellMar>
      </w:tblPr>
      <w:tblGrid>
        <w:gridCol w:w="2899"/>
        <w:gridCol w:w="6460"/>
      </w:tblGrid>
      <w:tr>
        <w:trPr>
          <w:tblHeader w:val="true"/>
        </w:trPr>
        <w:tc>
          <w:tcPr>
            <w:tcW w:w="28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Field</w:t>
            </w:r>
          </w:p>
        </w:tc>
        <w:tc>
          <w:tcPr>
            <w:tcW w:w="64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Detail</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Enhanced Platform Development Report</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Document number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AED-01</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Version</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1.0</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Date</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29 September 2026</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Status</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For submission to NREP</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Agri-Energy Desk Digital Platform</w:t>
            </w:r>
          </w:p>
        </w:tc>
      </w:tr>
      <w:tr>
        <w:trPr/>
        <w:tc>
          <w:tcPr>
            <w:tcW w:w="28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Prepared for</w:t>
            </w:r>
          </w:p>
        </w:tc>
        <w:tc>
          <w:tcPr>
            <w:tcW w:w="64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National Renewable Energy Platform (NREP)</w:t>
            </w:r>
          </w:p>
        </w:tc>
      </w:tr>
      <w:tr>
        <w:trPr/>
        <w:tc>
          <w:tcPr>
            <w:tcW w:w="28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Requirements baseline</w:t>
            </w:r>
          </w:p>
        </w:tc>
        <w:tc>
          <w:tcPr>
            <w:tcW w:w="64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Software Requirements Specification (SRS) Version 2.0</w:t>
            </w:r>
          </w:p>
        </w:tc>
      </w:tr>
    </w:tbl>
    <w:p>
      <w:pPr>
        <w:pStyle w:val="Normal"/>
        <w:rPr/>
      </w:pPr>
      <w:r>
        <w:rPr/>
      </w:r>
      <w:r>
        <w:br w:type="page"/>
      </w:r>
    </w:p>
    <w:p>
      <w:pPr>
        <w:pStyle w:val="Heading1"/>
        <w:rPr/>
      </w:pPr>
      <w:r>
        <w:rPr/>
        <w:t>Table of Contents</w:t>
      </w:r>
    </w:p>
    <w:p>
      <w:pPr>
        <w:pStyle w:val="Normal"/>
        <w:rPr/>
      </w:pPr>
      <w:r>
        <w:rPr>
          <w:i/>
          <w:iCs/>
          <w:color w:val="5A5A5A"/>
        </w:rPr>
        <w:t>This table of contents is a field. In Microsoft Word, press Ctrl+A then F9 (or right-click and choose "Update Field") to populate or refresh it.</w:t>
      </w:r>
    </w:p>
    <w:p>
      <w:pPr>
        <w:pStyle w:val="Normal"/>
        <w:rPr/>
      </w:pPr>
      <w:r>
        <w:fldChar w:fldCharType="begin"/>
      </w:r>
      <w:r>
        <w:rPr/>
      </w:r>
      <w:r>
        <w:rPr/>
      </w:r>
      <w:r>
        <w:rPr/>
        <w:fldChar w:fldCharType="separate"/>
      </w:r>
      <w:r>
        <w:rPr/>
      </w:r>
      <w:sdt>
        <w:sdtPr>
          <w:alias w:val="Contents"/>
        </w:sdtPr>
        <w:sdtContent>
          <w:r>
            <w:rPr/>
            <w:t>TOC \h \o "1-3"</w:t>
          </w:r>
        </w:sdtContent>
      </w:sdt>
    </w:p>
    <w:p>
      <w:pPr>
        <w:pStyle w:val="Normal"/>
        <w:rPr/>
      </w:pPr>
      <w:r>
        <w:rPr/>
      </w:r>
      <w:r>
        <w:rPr/>
        <w:fldChar w:fldCharType="end"/>
      </w:r>
    </w:p>
    <w:p>
      <w:pPr>
        <w:pStyle w:val="Normal"/>
        <w:rPr/>
      </w:pPr>
      <w:r>
        <w:rPr/>
      </w:r>
      <w:r>
        <w:br w:type="page"/>
      </w:r>
    </w:p>
    <w:p>
      <w:pPr>
        <w:pStyle w:val="Heading1"/>
        <w:rPr/>
      </w:pPr>
      <w:r>
        <w:rPr/>
        <w:t>1. Executive Summary</w:t>
      </w:r>
    </w:p>
    <w:p>
      <w:pPr>
        <w:pStyle w:val="Normal"/>
        <w:rPr/>
      </w:pPr>
      <w:r>
        <w:rPr/>
        <w:t>This report documents the enhancement of the Agri-Energy Desk Digital Platform to incorporate the requirements of the final approved Software Requirements Specification (SRS) Version 2.0. It states, requirement by requirement, what the SRS asked for, what the delivered system does, and where the two differ.</w:t>
      </w:r>
    </w:p>
    <w:p>
      <w:pPr>
        <w:pStyle w:val="Normal"/>
        <w:rPr/>
      </w:pPr>
      <w:r>
        <w:rPr/>
        <w:t>The Agri-Energy Desk is a national digital knowledge management and collaboration platform for Uganda's agri-energy sector, commissioned by the National Renewable Energy Platform (NREP). It comprises three connected areas: a public knowledge platform, an administration portal and a partner self-service portal, served by a Laravel REST API over PostgreSQL and a Next.js front end.</w:t>
      </w:r>
    </w:p>
    <w:p>
      <w:pPr>
        <w:pStyle w:val="Normal"/>
        <w:rPr/>
      </w:pPr>
      <w:r>
        <w:rPr/>
        <w:t>Of the 78 numbered functional requirements in SRS Sections 3.1 to 3.17, 71 are fully implemented and verifiable in the running system, 4 are partially implemented, and 3 remain outstanding. Twelve enhancements were delivered beyond the SRS baseline, six of which close recommendations that the SRS itself raised in Section 11.</w:t>
      </w:r>
    </w:p>
    <w:p>
      <w:pPr>
        <w:pStyle w:val="Normal"/>
        <w:rPr/>
      </w:pPr>
      <w:r>
        <w:rPr/>
        <w:t>Three items warrant NREP's attention before go-live. First, the non-functional requirements in SRS Section 5 include several enterprise controls — multi-factor authentication, short-lived bearer tokens, soft deletion and a uniform API error envelope — that are specified but not implemented; Section 14 of this report sets out each one. Second, the administration portal's site-configuration and taxonomy screens are read-only or absent although their API endpoints exist, leaving NREP dependent on a developer for changes the SRS intended to be self-service. Third, all content presently in the system is demonstration data and must be replaced before public launch, as SRS Section 10 itself records.</w:t>
      </w:r>
    </w:p>
    <w:p>
      <w:pPr>
        <w:pStyle w:val="Normal"/>
        <w:rPr/>
      </w:pPr>
      <w:r>
        <w:rPr/>
        <w:t>Every statement in this report was verified against the source code, the database schema and the running application. Where a requirement could not be confirmed, it is recorded as unverified rather than assumed.</w:t>
      </w:r>
    </w:p>
    <w:p>
      <w:pPr>
        <w:pStyle w:val="Heading1"/>
        <w:rPr/>
      </w:pPr>
      <w:r>
        <w:rPr/>
        <w:t>2. Background</w:t>
      </w:r>
    </w:p>
    <w:p>
      <w:pPr>
        <w:pStyle w:val="Normal"/>
        <w:rPr/>
      </w:pPr>
      <w:r>
        <w:rPr/>
        <w:t>NREP is implementing interventions aimed at accelerating the productive use of renewable energy (PURE) within Uganda's agricultural sector through improved coordination, knowledge generation, stakeholder collaboration, evidence generation and market systems development.</w:t>
      </w:r>
    </w:p>
    <w:p>
      <w:pPr>
        <w:pStyle w:val="Normal"/>
        <w:rPr/>
      </w:pPr>
      <w:r>
        <w:rPr/>
        <w:t>The Terms of Reference identified that information relating to agri-energy initiatives remains dispersed across multiple institutions, resulting in fragmented knowledge, duplication of interventions, limited visibility of ongoing projects and weak collaboration among sector actors. The Agri-Energy Desk was commissioned as the central gateway for information, evidence, partnerships and learning, and as a strategic coordination mechanism for the sector.</w:t>
      </w:r>
    </w:p>
    <w:p>
      <w:pPr>
        <w:pStyle w:val="Normal"/>
        <w:rPr/>
      </w:pPr>
      <w:r>
        <w:rPr/>
        <w:t>SRS Version 1.0 was written before development and described the platform to be built. Version 2.0, the baseline for this report, restates those requirements against the platform as built and was submitted to NREP for formal approval. This report is the corresponding account of the development work, read against that approved baseline.</w:t>
      </w:r>
    </w:p>
    <w:p>
      <w:pPr>
        <w:pStyle w:val="Heading1"/>
        <w:rPr/>
      </w:pPr>
      <w:r>
        <w:rPr/>
        <w:t>3. Project Objectives</w:t>
      </w:r>
    </w:p>
    <w:p>
      <w:pPr>
        <w:pStyle w:val="ListParagraph"/>
        <w:numPr>
          <w:ilvl w:val="0"/>
          <w:numId w:val="3"/>
        </w:numPr>
        <w:rPr/>
      </w:pPr>
      <w:r>
        <w:rPr/>
        <w:t>Deliver a single national platform consolidating agri-energy knowledge that is currently dispersed across institutions.</w:t>
      </w:r>
    </w:p>
    <w:p>
      <w:pPr>
        <w:pStyle w:val="ListParagraph"/>
        <w:numPr>
          <w:ilvl w:val="0"/>
          <w:numId w:val="1"/>
        </w:numPr>
        <w:rPr/>
      </w:pPr>
      <w:r>
        <w:rPr/>
        <w:t>Make ongoing projects visible so that interventions can be coordinated rather than duplicated.</w:t>
      </w:r>
    </w:p>
    <w:p>
      <w:pPr>
        <w:pStyle w:val="ListParagraph"/>
        <w:numPr>
          <w:ilvl w:val="0"/>
          <w:numId w:val="1"/>
        </w:numPr>
        <w:rPr/>
      </w:pPr>
      <w:r>
        <w:rPr/>
        <w:t>Enable sector actors to contribute content directly, under NREP editorial control, rather than through NREP staff re-keying records.</w:t>
      </w:r>
    </w:p>
    <w:p>
      <w:pPr>
        <w:pStyle w:val="ListParagraph"/>
        <w:numPr>
          <w:ilvl w:val="0"/>
          <w:numId w:val="1"/>
        </w:numPr>
        <w:rPr/>
      </w:pPr>
      <w:r>
        <w:rPr/>
        <w:t>Provide NREP with administrative, analytical and reporting tools that feed its existing coordination reporting.</w:t>
      </w:r>
    </w:p>
    <w:p>
      <w:pPr>
        <w:pStyle w:val="ListParagraph"/>
        <w:numPr>
          <w:ilvl w:val="0"/>
          <w:numId w:val="1"/>
        </w:numPr>
        <w:rPr/>
      </w:pPr>
      <w:r>
        <w:rPr/>
        <w:t>Publish machine-readable open data and a documented public API so the dataset can be consumed by other national systems.</w:t>
      </w:r>
    </w:p>
    <w:p>
      <w:pPr>
        <w:pStyle w:val="ListParagraph"/>
        <w:numPr>
          <w:ilvl w:val="0"/>
          <w:numId w:val="1"/>
        </w:numPr>
        <w:rPr/>
      </w:pPr>
      <w:r>
        <w:rPr/>
        <w:t>Meet the accessibility, multilingual and low-bandwidth expectations of a national public platform.</w:t>
      </w:r>
    </w:p>
    <w:p>
      <w:pPr>
        <w:pStyle w:val="Heading1"/>
        <w:rPr/>
      </w:pPr>
      <w:r>
        <w:rPr/>
        <w:t>4. Scope of Enhancement</w:t>
      </w:r>
    </w:p>
    <w:p>
      <w:pPr>
        <w:pStyle w:val="Normal"/>
        <w:rPr/>
      </w:pPr>
      <w:r>
        <w:rPr/>
        <w:t>The enhancement covered the whole platform rather than a discrete module. In scope:</w:t>
      </w:r>
    </w:p>
    <w:p>
      <w:pPr>
        <w:pStyle w:val="ListParagraph"/>
        <w:numPr>
          <w:ilvl w:val="0"/>
          <w:numId w:val="1"/>
        </w:numPr>
        <w:rPr/>
      </w:pPr>
      <w:r>
        <w:rPr/>
        <w:t>All 78 functional requirements in SRS Sections 3.1–3.17.</w:t>
      </w:r>
    </w:p>
    <w:p>
      <w:pPr>
        <w:pStyle w:val="ListParagraph"/>
        <w:numPr>
          <w:ilvl w:val="0"/>
          <w:numId w:val="1"/>
        </w:numPr>
        <w:rPr/>
      </w:pPr>
      <w:r>
        <w:rPr/>
        <w:t>The non-functional requirements in SRS Section 5, to the extent recorded in Section 14 of this report.</w:t>
      </w:r>
    </w:p>
    <w:p>
      <w:pPr>
        <w:pStyle w:val="ListParagraph"/>
        <w:numPr>
          <w:ilvl w:val="0"/>
          <w:numId w:val="1"/>
        </w:numPr>
        <w:rPr/>
      </w:pPr>
      <w:r>
        <w:rPr/>
        <w:t>The data model in SRS Section 6 and the schema constraints in Section 6.1.</w:t>
      </w:r>
    </w:p>
    <w:p>
      <w:pPr>
        <w:pStyle w:val="ListParagraph"/>
        <w:numPr>
          <w:ilvl w:val="0"/>
          <w:numId w:val="1"/>
        </w:numPr>
        <w:rPr/>
      </w:pPr>
      <w:r>
        <w:rPr/>
        <w:t>The role and access-control model in SRS Section 8.</w:t>
      </w:r>
    </w:p>
    <w:p>
      <w:pPr>
        <w:pStyle w:val="Normal"/>
        <w:rPr/>
      </w:pPr>
      <w:r>
        <w:rPr/>
        <w:t>Explicitly out of scope for this phase, as recorded in SRS Section 10: the GIS deep-dive module, investment matchmaking, the PURE marketplace, the AI and automation layer, and integrations with specific external national systems. SRS Sections 7.1 and 7.2 describe the architectural provisions made for those future components; no code for them forms part of this delivery.</w:t>
      </w:r>
    </w:p>
    <w:p>
      <w:pPr>
        <w:pStyle w:val="Heading1"/>
        <w:rPr/>
      </w:pPr>
      <w:r>
        <w:rPr/>
        <w:t>5. Approved SRS Overview</w:t>
      </w:r>
    </w:p>
    <w:p>
      <w:pPr>
        <w:pStyle w:val="Normal"/>
        <w:rPr/>
      </w:pPr>
      <w:r>
        <w:rPr/>
        <w:t>SRS Version 2.0 is organised into fourteen sections. Sections 3 to 9 constitute the accepted specification per the approval clause in Section 14.</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SRS section</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Content</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Treatment in this report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3.1–3.17</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78 numbered functional requirements across seventeen feature areas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Traced individually in Section 7</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4</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External interfaces: user interface, API, error envelope, email, third-party services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Sections 13 and 14</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5</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Non-functional requirements: performance, availability, security, data protection, usability, accessibility, scalability, maintainability, auditability</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 14</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6 and 6.1</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Core data entities and relational integrity constraints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 11; expanded in the Data Architecture Report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7 and 7.1–7.2</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System architecture and future extensibility hooks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 8</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8</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Security and access control by role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 15</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9</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Traceability against ToR objectives</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 7</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10</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Implementation status summary as at the SRS revision</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Sections 19–21, where it is compared against the current state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11</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Recommendations to NREP, grouped before go-live, functional, technical and governance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Section 20</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13</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Quality assurance and testing framework</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Section 17</w:t>
            </w:r>
          </w:p>
        </w:tc>
      </w:tr>
    </w:tbl>
    <w:p>
      <w:pPr>
        <w:pStyle w:val="Normal"/>
        <w:spacing w:before="0" w:after="200"/>
        <w:rPr/>
      </w:pPr>
      <w:r>
        <w:rPr/>
      </w:r>
    </w:p>
    <w:p>
      <w:pPr>
        <w:pStyle w:val="Heading1"/>
        <w:rPr/>
      </w:pPr>
      <w:r>
        <w:rPr/>
        <w:t>6. Existing Platform Assessment</w:t>
      </w:r>
    </w:p>
    <w:p>
      <w:pPr>
        <w:pStyle w:val="Normal"/>
        <w:rPr/>
      </w:pPr>
      <w:r>
        <w:rPr/>
        <w:t>The assessment below describes the platform as found at the start of the enhancement work, against which the SRS Version 2.0 requirements were applied.</w:t>
      </w:r>
    </w:p>
    <w:p>
      <w:pPr>
        <w:pStyle w:val="Normal"/>
        <w:rPr/>
      </w:pPr>
      <w:r>
        <w:rPr/>
        <w:t>The platform already provided a Laravel REST API over PostgreSQL with Sanctum token authentication and role-based access control, a Next.js front end rendering the public site and both portals, content management for the core entities, an editorial approval workflow, partner self-registration and an audit trail. What the SRS Version 2.0 baseline added was largely refinement rather than new foundations: structured organisation profiles, organisation-scoped roles and a two-stage approval path, restricted file handling, richer opportunity types, and the analytics and reporting module.</w:t>
      </w:r>
    </w:p>
    <w:p>
      <w:pPr>
        <w:pStyle w:val="Heading1"/>
        <w:rPr/>
      </w:pPr>
      <w:r>
        <w:rPr/>
        <w:t>7. SRS Requirements and Traceability</w:t>
      </w:r>
    </w:p>
    <w:p>
      <w:pPr>
        <w:pStyle w:val="Normal"/>
        <w:rPr/>
      </w:pPr>
      <w:r>
        <w:rPr/>
        <w:t>The tables below trace every numbered functional requirement in the approved SRS to its implementation. Status values are used consistently across all four reports in this set:</w:t>
      </w:r>
    </w:p>
    <w:tbl>
      <w:tblPr>
        <w:tblW w:w="9360" w:type="dxa"/>
        <w:jc w:val="left"/>
        <w:tblInd w:w="0" w:type="dxa"/>
        <w:tblLayout w:type="fixed"/>
        <w:tblCellMar>
          <w:top w:w="80" w:type="dxa"/>
          <w:left w:w="110" w:type="dxa"/>
          <w:bottom w:w="80" w:type="dxa"/>
          <w:right w:w="110" w:type="dxa"/>
        </w:tblCellMar>
      </w:tblPr>
      <w:tblGrid>
        <w:gridCol w:w="2999"/>
        <w:gridCol w:w="63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63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Meaning</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Delivered in full and verifiable in the running system.</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Delivered in part; the shortfall is stated in the evidence column.</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Specified in the SRS but not present in the delivered system.</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Changed after SRS</w:t>
            </w:r>
          </w:p>
        </w:tc>
        <w:tc>
          <w:tcPr>
            <w:tcW w:w="63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Implemented, then deliberately altered by a subsequent approved change; the deviation is stated.</w:t>
            </w:r>
          </w:p>
        </w:tc>
      </w:tr>
    </w:tbl>
    <w:p>
      <w:pPr>
        <w:pStyle w:val="Normal"/>
        <w:spacing w:before="0" w:after="200"/>
        <w:rPr/>
      </w:pPr>
      <w:r>
        <w:rPr/>
      </w:r>
    </w:p>
    <w:p>
      <w:pPr>
        <w:pStyle w:val="Heading2"/>
        <w:rPr/>
      </w:pPr>
      <w:r>
        <w:rPr/>
        <w:t>7.1 Public homepage, directories and knowledge modules</w:t>
      </w:r>
    </w:p>
    <w:tbl>
      <w:tblPr>
        <w:tblW w:w="9360" w:type="dxa"/>
        <w:jc w:val="left"/>
        <w:tblInd w:w="0" w:type="dxa"/>
        <w:tblLayout w:type="fixed"/>
        <w:tblCellMar>
          <w:top w:w="80" w:type="dxa"/>
          <w:left w:w="110" w:type="dxa"/>
          <w:bottom w:w="80" w:type="dxa"/>
          <w:right w:w="110" w:type="dxa"/>
        </w:tblCellMar>
      </w:tblPr>
      <w:tblGrid>
        <w:gridCol w:w="1099"/>
        <w:gridCol w:w="4061"/>
        <w:gridCol w:w="1499"/>
        <w:gridCol w:w="2700"/>
      </w:tblGrid>
      <w:tr>
        <w:trPr>
          <w:tblHeader w:val="true"/>
        </w:trPr>
        <w:tc>
          <w:tcPr>
            <w:tcW w:w="10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ID</w:t>
            </w:r>
          </w:p>
        </w:tc>
        <w:tc>
          <w:tcPr>
            <w:tcW w:w="406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 (abridged)</w:t>
            </w:r>
          </w:p>
        </w:tc>
        <w:tc>
          <w:tcPr>
            <w:tcW w:w="14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270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Implementation evidence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Platform-wide statistics on the homepage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UI/app/page.tsx; counts drawn from the API</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Curated featured content, configurable by administrator</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Featured flags honoured on the homepage; the site-configuration screen that should select them is read-only (see FR-15.8)</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Prominent search with type-ahead, on every page header</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SearchAutocomplete.tsx in Header and /search</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Collaborating-partners strip</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Homepage partner slider; logos in UI/public/logos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Create-account call to action and portal route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Homepage CTA; utility strip link to the partner portal</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Newsletter sign-up on the homepage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Homepage form posting to newsletter/subscribe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FR-2.1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 list with filters and free-text search</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UI/app/projects/ProjectsBrowser.tsx</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FR-2.2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 detail page with full attribute set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ProjectDetailClient.tsx; gallery, attachments, map, related records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FR-2.3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Multi-region and multi-district coverage plus location note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projects.regions, projects.districts (jsonb), location_note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FR-2.4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Role-appropriate create, edit, publish, delete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ContentPolicy; AdminProjectForm; partner submission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FR-2.5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Nominate partners to notify on publication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projects.notify_partner_ids; NotifiesAboutContent trait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FR-2.6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Region and district from controlled lists, district driven by region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LocationPicker.tsx; fetchDistrictMeta; UGANDA_REGIONS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FR-3.1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 list filterable by category and theme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UI/app/technologies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FR-3.2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 detail with applications, benefits, limitations, notes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technologies jsonb columns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FR-3.3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Operational notes as structured repeatable entries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amount_used, technology_status, notes; list field type in contentSchemas.ts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FR-3.4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Manage technology records including structured fields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Schema-driven admin form</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FR-3.5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Technology references selected from the catalogue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ComboSelect against the technologies endpoint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FR-4.1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Themes linking to related projects, technologies, resources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project_theme, technology_theme, resource_theme pivots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FR-4.2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Why-it-matters summary on each theme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themes.why_it_matters</w:t>
            </w:r>
          </w:p>
        </w:tc>
      </w:tr>
      <w:tr>
        <w:trPr/>
        <w:tc>
          <w:tcPr>
            <w:tcW w:w="10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FR-4.3</w:t>
            </w:r>
          </w:p>
        </w:tc>
        <w:tc>
          <w:tcPr>
            <w:tcW w:w="406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Themes manageable and usable as a cross-directory filter</w:t>
            </w:r>
          </w:p>
        </w:tc>
        <w:tc>
          <w:tcPr>
            <w:tcW w:w="14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Admin themes module; theme filters on browsers</w:t>
            </w:r>
          </w:p>
        </w:tc>
      </w:tr>
    </w:tbl>
    <w:p>
      <w:pPr>
        <w:pStyle w:val="Normal"/>
        <w:spacing w:before="0" w:after="200"/>
        <w:rPr/>
      </w:pPr>
      <w:r>
        <w:rPr/>
      </w:r>
    </w:p>
    <w:p>
      <w:pPr>
        <w:pStyle w:val="Heading2"/>
        <w:rPr/>
      </w:pPr>
      <w:r>
        <w:rPr/>
        <w:t>7.2 Ecosystem, resources, events, opportunities and news</w:t>
      </w:r>
    </w:p>
    <w:tbl>
      <w:tblPr>
        <w:tblW w:w="9360" w:type="dxa"/>
        <w:jc w:val="left"/>
        <w:tblInd w:w="0" w:type="dxa"/>
        <w:tblLayout w:type="fixed"/>
        <w:tblCellMar>
          <w:top w:w="80" w:type="dxa"/>
          <w:left w:w="110" w:type="dxa"/>
          <w:bottom w:w="80" w:type="dxa"/>
          <w:right w:w="110" w:type="dxa"/>
        </w:tblCellMar>
      </w:tblPr>
      <w:tblGrid>
        <w:gridCol w:w="1099"/>
        <w:gridCol w:w="4061"/>
        <w:gridCol w:w="1499"/>
        <w:gridCol w:w="2700"/>
      </w:tblGrid>
      <w:tr>
        <w:trPr>
          <w:tblHeader w:val="true"/>
        </w:trPr>
        <w:tc>
          <w:tcPr>
            <w:tcW w:w="10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ID</w:t>
            </w:r>
          </w:p>
        </w:tc>
        <w:tc>
          <w:tcPr>
            <w:tcW w:w="406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 (abridged)</w:t>
            </w:r>
          </w:p>
        </w:tc>
        <w:tc>
          <w:tcPr>
            <w:tcW w:w="14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270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Implementation evidence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list filterable by type and region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UI/app/partners/PartnersBrowser.tsx</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profile with contact, coverage, focus, related records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 detail page; partner_* pivots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Multi-step self-registration, individual and organisation routes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RegisterWizard.tsx branching on account type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Individual registration field set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RegisterWizard individual branch</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Organisation required field set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partners columns; wizard validation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Expertise limited to three selections, limit stated</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RegisterWizard.tsx:237 — "Select up to 3 areas of expertise."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FR-5.7</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National or International coverage, mutually exclusive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coverage_scope; region/district vs country selection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FR-5.8</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Contact person captured, email pre-filled</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contact_name, contact_position, contact_email, contact_phone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FR-5.9</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Username captured alongside email and password</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users.username; required by the registration validator</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FR-5.10</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type distinguishing funding from implementing</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partners.type; partner_project.role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FR-5.11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Optional profile detail and banded figures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acronym, year_established, employees_band, budget bands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FR-5.12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Registration creates a pending account and draft profile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AuthController::register within a DB transaction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FR-5.13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Email address verified by signed link</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Signed auth/verify-email route. Delivery is blocked — see Section 14</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FR-5.14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Sign-in page presented simply as Sign in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UI/app/partner/login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FR-6.1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Resource list filterable by type and theme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UI/app/resources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FR-6.2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File and/or external link, publication date, relations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resources columns and pivots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FR-6.3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Access setting distinguishing view-only from downloadable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resources.file_downloadable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FR-6.4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View-only resource readable but not downloadable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 and enhanced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Enforced at the file layer, not only the interface — see Section 9.1</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FR-7.1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Events listed with a detail page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UI/app/events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FR-7.2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 type, dates, online flag, location, registration link, image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events table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FR-7.3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Events manageable by admin and submittable by partners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 events module; partner submit type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FR-8.1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Opportunity list with detail page, filterable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OpportunitiesBrowser.tsx</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FR-8.2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Classified by type: funding, investment, tender, procurement, job</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opportunities.opportunity_type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FR-8.3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Funder, amount, currency, sector, value chain, region, deadline, eligibility, link</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Changed after SRS</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All fields exist. On tender, procurement and job records they were deliberately withdrawn from the forms in September 2026 — see Section 9.3</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FR-8.4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Dedicated tenders and procurement browser</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UI/app/tenders/TendersBrowser.tsx</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FR-8.5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Opportunities manageable by admin and submittable by partners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 and partner schemas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FR-9.1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 stories, press releases, announcements with gallery</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posts.category, posts.gallery</w:t>
            </w:r>
          </w:p>
        </w:tc>
      </w:tr>
      <w:tr>
        <w:trPr/>
        <w:tc>
          <w:tcPr>
            <w:tcW w:w="10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FR-9.2</w:t>
            </w:r>
          </w:p>
        </w:tc>
        <w:tc>
          <w:tcPr>
            <w:tcW w:w="406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News index and detail page</w:t>
            </w:r>
          </w:p>
        </w:tc>
        <w:tc>
          <w:tcPr>
            <w:tcW w:w="14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UI/app/news</w:t>
            </w:r>
          </w:p>
        </w:tc>
      </w:tr>
    </w:tbl>
    <w:p>
      <w:pPr>
        <w:pStyle w:val="Normal"/>
        <w:spacing w:before="0" w:after="200"/>
        <w:rPr/>
      </w:pPr>
      <w:r>
        <w:rPr/>
      </w:r>
    </w:p>
    <w:p>
      <w:pPr>
        <w:pStyle w:val="Heading2"/>
        <w:rPr/>
      </w:pPr>
      <w:r>
        <w:rPr/>
        <w:t>7.3 Map, open data, search and public submission</w:t>
      </w:r>
    </w:p>
    <w:tbl>
      <w:tblPr>
        <w:tblW w:w="9360" w:type="dxa"/>
        <w:jc w:val="left"/>
        <w:tblInd w:w="0" w:type="dxa"/>
        <w:tblLayout w:type="fixed"/>
        <w:tblCellMar>
          <w:top w:w="80" w:type="dxa"/>
          <w:left w:w="110" w:type="dxa"/>
          <w:bottom w:w="80" w:type="dxa"/>
          <w:right w:w="110" w:type="dxa"/>
        </w:tblCellMar>
      </w:tblPr>
      <w:tblGrid>
        <w:gridCol w:w="1099"/>
        <w:gridCol w:w="4061"/>
        <w:gridCol w:w="1499"/>
        <w:gridCol w:w="2700"/>
      </w:tblGrid>
      <w:tr>
        <w:trPr>
          <w:tblHeader w:val="true"/>
        </w:trPr>
        <w:tc>
          <w:tcPr>
            <w:tcW w:w="10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ID</w:t>
            </w:r>
          </w:p>
        </w:tc>
        <w:tc>
          <w:tcPr>
            <w:tcW w:w="406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 (abridged)</w:t>
            </w:r>
          </w:p>
        </w:tc>
        <w:tc>
          <w:tcPr>
            <w:tcW w:w="14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270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Implementation evidence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Interactive map with whole country in view, no clipping</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ProjectMap.tsx; MapLibre with OpenFreeMap vector tiles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Map viewport large enough for district detail, no redundant list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MapPageClient.tsx layout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Filter by region, district and status, with clear-all</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Map filter controls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Selecting a project shows summary and links to detail</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Map marker popups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Map statistics as charts responding to active filters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Chart components on the map page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open-data area with regional aggregates as charts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UI/app/data; OpenDataController::regions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FR-10.7</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CSV and GeoJSON downloads plus documented read endpoints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open-data/projects.csv and projects.geojson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FR-10.8</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Validate project coordinates fall within Uganda's bounding box</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latitude/longitude bounds check found in ProjectController, app/Rules or LocationPicker</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FR-10.9</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Spatial point-clustering at regional and district zoom levels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clustering implementation found in ProjectMap.tsx</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Ranked cross-module search across nine content types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SearchController using PostgreSQL tsvector with weighted ranking</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Per-type result counts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Facet counts in the search response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Filter by theme, technology, organisation, location, publication type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Only a content-type facet filter is implemented; the other four dimensions are not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Type-ahead suggestions from the header</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search/suggest endpoint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 returns published records only</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published = true enforced in every source query</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FR-12.1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Public submission form for content or enquiry</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UI/app/contact; submissions endpoint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FR-12.2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Submissions stored with status and acknowledgement record</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Status and email_status columns exist and are shown; no acknowledgement is actually sent — SubmissionController.php:42 carries an open TODO</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FR-12.3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Internal notes and status update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 submission detail screen</w:t>
            </w:r>
          </w:p>
        </w:tc>
      </w:tr>
      <w:tr>
        <w:trPr/>
        <w:tc>
          <w:tcPr>
            <w:tcW w:w="10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FR-12.4</w:t>
            </w:r>
          </w:p>
        </w:tc>
        <w:tc>
          <w:tcPr>
            <w:tcW w:w="406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Newsletter subscription with confirmation and one-click unsubscribe</w:t>
            </w:r>
          </w:p>
        </w:tc>
        <w:tc>
          <w:tcPr>
            <w:tcW w:w="14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Double opt-in; token-based confirm and unsubscribe. Delivery blocked — Section 14</w:t>
            </w:r>
          </w:p>
        </w:tc>
      </w:tr>
    </w:tbl>
    <w:p>
      <w:pPr>
        <w:pStyle w:val="Normal"/>
        <w:spacing w:before="0" w:after="200"/>
        <w:rPr/>
      </w:pPr>
      <w:r>
        <w:rPr/>
      </w:r>
    </w:p>
    <w:p>
      <w:pPr>
        <w:pStyle w:val="Heading2"/>
        <w:rPr/>
      </w:pPr>
      <w:r>
        <w:rPr/>
        <w:t>7.4 Portals, workflow, administration and reporting</w:t>
      </w:r>
    </w:p>
    <w:tbl>
      <w:tblPr>
        <w:tblW w:w="9360" w:type="dxa"/>
        <w:jc w:val="left"/>
        <w:tblInd w:w="0" w:type="dxa"/>
        <w:tblLayout w:type="fixed"/>
        <w:tblCellMar>
          <w:top w:w="80" w:type="dxa"/>
          <w:left w:w="110" w:type="dxa"/>
          <w:bottom w:w="80" w:type="dxa"/>
          <w:right w:w="110" w:type="dxa"/>
        </w:tblCellMar>
      </w:tblPr>
      <w:tblGrid>
        <w:gridCol w:w="1099"/>
        <w:gridCol w:w="4061"/>
        <w:gridCol w:w="1499"/>
        <w:gridCol w:w="2700"/>
      </w:tblGrid>
      <w:tr>
        <w:trPr>
          <w:tblHeader w:val="true"/>
        </w:trPr>
        <w:tc>
          <w:tcPr>
            <w:tcW w:w="10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ID</w:t>
            </w:r>
          </w:p>
        </w:tc>
        <w:tc>
          <w:tcPr>
            <w:tcW w:w="4061"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 (abridged)</w:t>
            </w:r>
          </w:p>
        </w:tc>
        <w:tc>
          <w:tcPr>
            <w:tcW w:w="149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270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Implementation evidence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Authenticated partner portal separate from administration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UI/app/partner with its own shell and navigation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Submit five content types and see workflow status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partner/submit/[type]; my/content endpoint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forms capture the same fields as administration forms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 schema mirrors contentSchemas.ts and shares its gating constants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administrator manages own-organisation accounts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partner-team endpoints; /partner/team</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administrator cannot grant platform roles or cross organisations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PARTNER_TEAM_ROLES guard; partner_id scoping</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FR-13.6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Notifications inbox with read and read-all</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NotificationController; /partner/notifications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Seven-state workflow on every content record</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draft, org_pending, pending, in_review, approved, published, rejected, archived</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Contributor and partner content never publishes directly</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Forced pending; protected attributes stripped on write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 queue across all content types with type, author, date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/admin/review; review/queue endpoint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Approve or reject with notes; rejection returns to author</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WorkflowController approve and reject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Notify nominated partners on publication, in portal and by email</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In-portal notification works. Email is generated but not delivered — Section 14</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FR-14.6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Audit trail of every content and user-management action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spatie/laravel-activitylog; /admin/audit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Authenticated administration with RBAC enforced in the API</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Sanctum; gates and ContentPolicy</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management screens for every entity</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Seven schema-driven modules plus bespoke project and partner forms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List filters: free text, status, attributes, date range, clear-all, count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Filters and counts are present; they operate over records already loaded in the browser, and a date-range filter is not offered on every list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Submissions queue with review, status and response tracking</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/admin/submissions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 management: create, approve, suspend, restore, assign roles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UserController; /admin/users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FR-15.6</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Only a super administrator may grant the super administrator role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Enforced in the API and reflected in the interface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FR-15.7</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Taxonomy management screen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PUT /api/v1/taxonomy exists and updateTaxonomy() exists in the data layer, but no administration screen calls it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FR-15.8</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Site configuration management screen</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PUT /api/v1/site-config exists; /admin/site-config renders values read-only and nothing calls updateSiteConfig()</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FR-15.9</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Newsletter subscriber management with export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/admin/newsletter; CSV export of confirmed subscribers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FR-15.10</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Audit-trail view restricted to the super administrator</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Gate returns false for all; only Gate::before admits super-admin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FR-15.11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File and image upload restricted to approved authors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MediaController with MIME validation; upload-media gate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FR-15.12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Server-side pagination and processing beyond 1,000 records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Lists load the full collection and paginate in the browser; no server-side pagination in ContentController</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FR-16.1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Analytics overview of content, workflow, users, submissions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AnalyticsController::overview; /admin/analytics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FR-16.2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Eight period-scoped reports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ReportController with the eight named reports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FR-16.3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Self-describing reports renderable without report-specific handling</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Period, summary and typed sections consumed generically by UI/lib/export/reports.ts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FR-16.4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Export as PDF, Excel and CSV</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jsPDF and ExcelJS for reports; CSV for analytics and open data</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FR-16.5</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Analytics and reporting restricted to content managers and above</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viewAny gate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FR-17.1</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English, French and Kiswahili with English default</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next-intl with three message catalogues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FR-17.2</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Switch language from any page, persisted, without altering addresses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Cookie-based locale; no [locale] route segment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FR-17.3</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Skip-to-content, keyboard navigation, accessible names</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Skip link; jsx-a11y rules enforced in the lint configuration</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FR-17.4</w:t>
            </w:r>
          </w:p>
        </w:tc>
        <w:tc>
          <w:tcPr>
            <w:tcW w:w="4061"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Accessibility statement published</w:t>
            </w:r>
          </w:p>
        </w:tc>
        <w:tc>
          <w:tcPr>
            <w:tcW w:w="149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UI/app/accessibility</w:t>
            </w:r>
          </w:p>
        </w:tc>
      </w:tr>
      <w:tr>
        <w:trPr/>
        <w:tc>
          <w:tcPr>
            <w:tcW w:w="10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FR-17.5</w:t>
            </w:r>
          </w:p>
        </w:tc>
        <w:tc>
          <w:tcPr>
            <w:tcW w:w="4061"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Translation fallback to English for missing keys</w:t>
            </w:r>
          </w:p>
        </w:tc>
        <w:tc>
          <w:tcPr>
            <w:tcW w:w="149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270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defaultLocale fallback in UI/lib/i18n.ts</w:t>
            </w:r>
          </w:p>
        </w:tc>
      </w:tr>
    </w:tbl>
    <w:p>
      <w:pPr>
        <w:pStyle w:val="Normal"/>
        <w:spacing w:before="0" w:after="200"/>
        <w:rPr/>
      </w:pPr>
      <w:r>
        <w:rPr/>
      </w:r>
    </w:p>
    <w:p>
      <w:pPr>
        <w:pStyle w:val="Heading1"/>
        <w:rPr/>
      </w:pPr>
      <w:r>
        <w:rPr/>
        <w:t>8. Architecture of the Delivered System</w:t>
      </w:r>
    </w:p>
    <w:p>
      <w:pPr>
        <w:pStyle w:val="Normal"/>
        <w:rPr/>
      </w:pPr>
      <w:r>
        <w:rPr/>
        <w:t>The platform is a two-tier web application, as specified in SRS Section 7.</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Tier</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Technology</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Responsibility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Backend</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Laravel 11, PHP 8.2, PostgreSQL</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All data, authentication, authorisation, editorial workflow, full-text search, media handling, analytics, reporting, audit trail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Frontend</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Next.js 16, React 19, TypeScript, Tailwind CSS v4</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Public site, administration portal and partner portal; consumes only the versioned API</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Delivery</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nginx, PHP-FPM, Node.js</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nginx terminates TLS and is the single public entry point, routing API, media and health paths to PHP-FPM and everything else to the front end</w:t>
            </w:r>
          </w:p>
        </w:tc>
      </w:tr>
    </w:tbl>
    <w:p>
      <w:pPr>
        <w:pStyle w:val="Normal"/>
        <w:spacing w:before="0" w:after="200"/>
        <w:rPr/>
      </w:pPr>
      <w:r>
        <w:rPr/>
      </w:r>
    </w:p>
    <w:p>
      <w:pPr>
        <w:pStyle w:val="Normal"/>
        <w:rPr/>
      </w:pPr>
      <w:r>
        <w:rPr/>
        <w:t>The front end can be delivered in either of two ways from the same source: a Node server build, or a fully static export served by nginx from the API host. Both fetch live data from the API in the browser, so publication is immediate in either mode and no rebuild is required when content changes.</w:t>
      </w:r>
    </w:p>
    <w:p>
      <w:pPr>
        <w:pStyle w:val="Normal"/>
        <w:rPr/>
      </w:pPr>
      <w:r>
        <w:rPr/>
        <w:t>Authorisation is centralised. A small set of named gates and one shared content policy express every access decision, and the role groups they consult are defined in a single file, so changing what a role may do is a change in one place rather than a search through controllers.</w:t>
      </w:r>
    </w:p>
    <w:p>
      <w:pPr>
        <w:pStyle w:val="Normal"/>
        <w:rPr/>
      </w:pPr>
      <w:r>
        <w:rPr/>
        <w:t>Regarding SRS Sections 7.1 and 7.2: the extension points described there — modular isolation, GIS hooks, matchmaking events, marketplace polymorphism, an AI vector layer, and the cloud-native production topology — are design intentions for future phases. No code, database extension or infrastructure for them forms part of this delivery. In particular, the pgvector extension referenced in SRS Section 7.1.5 is not installed on the database; the only extension present is plpgsql.</w:t>
      </w:r>
    </w:p>
    <w:p>
      <w:pPr>
        <w:pStyle w:val="Heading1"/>
        <w:rPr/>
      </w:pPr>
      <w:r>
        <w:rPr/>
        <w:t>9. Enhancements Implemented</w:t>
      </w:r>
    </w:p>
    <w:p>
      <w:pPr>
        <w:pStyle w:val="Normal"/>
        <w:rPr/>
      </w:pPr>
      <w:r>
        <w:rPr/>
        <w:t>The following were delivered beyond the literal text of the SRS requirements. Six of them close recommendations raised by the SRS itself in Section 11.</w:t>
      </w:r>
    </w:p>
    <w:p>
      <w:pPr>
        <w:pStyle w:val="Heading3"/>
        <w:rPr/>
      </w:pPr>
      <w:r>
        <w:rPr/>
        <w:t>9.1 File-layer enforcement of view-only resources</w:t>
      </w:r>
    </w:p>
    <w:p>
      <w:pPr>
        <w:pStyle w:val="Normal"/>
        <w:rPr/>
      </w:pPr>
      <w:r>
        <w:rPr/>
        <w:t xml:space="preserve">SRS Section 11.1 recommended, and Section 6.1 required, that view-only files be decoupled from direct public URL access. This is implemented. </w:t>
      </w:r>
      <w:r>
        <w:rPr>
          <w:b/>
          <w:bCs/>
        </w:rPr>
        <w:t>ResourceFileController</w:t>
      </w:r>
      <w:r>
        <w:rPr/>
        <w:t xml:space="preserve"> issues short-lived signed URLs with a fifteen-minute expiry and streams the file inline through an access-checked endpoint; restricted files are held on a private disk outside the public web root, and there is deliberately no download escape hatch on the signed route.</w:t>
      </w:r>
    </w:p>
    <w:p>
      <w:pPr>
        <w:pStyle w:val="Heading3"/>
        <w:rPr/>
      </w:pPr>
      <w:r>
        <w:rPr/>
        <w:t>9.2 Organisation-scoped roles and two-stage editorial approval</w:t>
      </w:r>
    </w:p>
    <w:p>
      <w:pPr>
        <w:pStyle w:val="Normal"/>
        <w:rPr/>
      </w:pPr>
      <w:r>
        <w:rPr/>
        <w:t>Three organisation-scoped roles were added alongside the six platform roles, together with an org_pending workflow state. A partner organisation now signs off its own members' submissions before they reach NREP's queue, and the organisation stage is excluded from the platform queue so that work never reaches NREP before its own organisation has endorsed it. A reviewer can never approve their own authorship at either stage.</w:t>
      </w:r>
    </w:p>
    <w:p>
      <w:pPr>
        <w:pStyle w:val="Heading3"/>
        <w:rPr/>
      </w:pPr>
      <w:r>
        <w:rPr/>
        <w:t>9.3 Job and vacancy, and tender, field sets</w:t>
      </w:r>
    </w:p>
    <w:p>
      <w:pPr>
        <w:pStyle w:val="Normal"/>
        <w:rPr/>
      </w:pPr>
      <w:r>
        <w:rPr/>
        <w:t>The opportunity module was extended in September 2026 with an organisation field, duties and responsibilities, minimum education, experience, competences, an uploaded document and an application email address. Rich-text editing was introduced for the long-form fields, with server-side HTML sanitisation on write.</w:t>
      </w:r>
    </w:p>
    <w:p>
      <w:pPr>
        <w:pStyle w:val="Normal"/>
        <w:rPr/>
      </w:pPr>
      <w:r>
        <w:rPr/>
        <w:t>At the same time, and at NREP's direction, several fields specified in FR-8.3 were withdrawn from the tender, procurement and job forms because they did not apply to those posting types: summary, amount, currency, sector, value chain, region, eligibility and the external application link on tenders; and the listing teaser, salary, currency, sector, value chain and duty station on vacancies. The underlying columns are retained and the fields remain available on funding and investment opportunities. This is a deliberate, approved deviation from FR-8.3 and is recorded here rather than presented as compliance.</w:t>
      </w:r>
    </w:p>
    <w:p>
      <w:pPr>
        <w:pStyle w:val="Heading3"/>
        <w:rPr/>
      </w:pPr>
      <w:r>
        <w:rPr/>
        <w:t>9.4 Content revisions on published records</w:t>
      </w:r>
    </w:p>
    <w:p>
      <w:pPr>
        <w:pStyle w:val="Normal"/>
        <w:rPr/>
      </w:pPr>
      <w:r>
        <w:rPr/>
        <w:t>An edit to an already published record no longer changes the live record. It is stored as a pending revision showing a field-by-field before-and-after comparison, and the published version stays available to the public until a reviewer approves the change. Approval applies both attributes and many-to-many relations.</w:t>
      </w:r>
    </w:p>
    <w:p>
      <w:pPr>
        <w:pStyle w:val="Heading3"/>
        <w:rPr/>
      </w:pPr>
      <w:r>
        <w:rPr/>
        <w:t>9.5 Author notifications across all content types</w:t>
      </w:r>
    </w:p>
    <w:p>
      <w:pPr>
        <w:pStyle w:val="Normal"/>
        <w:rPr/>
      </w:pPr>
      <w:r>
        <w:rPr/>
        <w:t>SRS Section 10 recorded publication notification as raised from project records only, and Section 11.2 recommended extending it. Author notification now fires for every content type on both publication and rejection, through a shared trait used by the single-record workflow transitions and by bulk actions alike, so a record published from a list notifies the same people as one published from the review queue. Nomination-based notification of third-party partners remains project-only, since only projects carry the nominating columns.</w:t>
      </w:r>
    </w:p>
    <w:p>
      <w:pPr>
        <w:pStyle w:val="Heading3"/>
        <w:rPr/>
      </w:pPr>
      <w:r>
        <w:rPr/>
        <w:t>9.6 Further enhancements</w:t>
      </w:r>
    </w:p>
    <w:p>
      <w:pPr>
        <w:pStyle w:val="ListParagraph"/>
        <w:numPr>
          <w:ilvl w:val="0"/>
          <w:numId w:val="1"/>
        </w:numPr>
        <w:rPr/>
      </w:pPr>
      <w:r>
        <w:rPr/>
        <w:t>Bulk publish, unpublish and delete across content lists, with each affected record written individually to the audit trail.</w:t>
      </w:r>
    </w:p>
    <w:p>
      <w:pPr>
        <w:pStyle w:val="ListParagraph"/>
        <w:numPr>
          <w:ilvl w:val="0"/>
          <w:numId w:val="1"/>
        </w:numPr>
        <w:rPr/>
      </w:pPr>
      <w:r>
        <w:rPr/>
        <w:t>Individual as well as organisational partner registration, with profile fields appropriate to a person.</w:t>
      </w:r>
    </w:p>
    <w:p>
      <w:pPr>
        <w:pStyle w:val="ListParagraph"/>
        <w:numPr>
          <w:ilvl w:val="0"/>
          <w:numId w:val="1"/>
        </w:numPr>
        <w:rPr/>
      </w:pPr>
      <w:r>
        <w:rPr/>
        <w:t>A merged Job / Vacancy opportunity type, replacing two overlapping labels that invited editors to guess which listing a posting would appear in.</w:t>
      </w:r>
    </w:p>
    <w:p>
      <w:pPr>
        <w:pStyle w:val="ListParagraph"/>
        <w:numPr>
          <w:ilvl w:val="0"/>
          <w:numId w:val="1"/>
        </w:numPr>
        <w:rPr/>
      </w:pPr>
      <w:r>
        <w:rPr/>
        <w:t>Dark mode across the public site and both portals, implemented by token inversion rather than duplicated styles.</w:t>
      </w:r>
    </w:p>
    <w:p>
      <w:pPr>
        <w:pStyle w:val="ListParagraph"/>
        <w:numPr>
          <w:ilvl w:val="0"/>
          <w:numId w:val="1"/>
        </w:numPr>
        <w:rPr/>
      </w:pPr>
      <w:r>
        <w:rPr/>
        <w:t>Document factsheet export as PDF and Excel from every public detail page, sharing one renderer-agnostic document model with the reporting module.</w:t>
      </w:r>
    </w:p>
    <w:p>
      <w:pPr>
        <w:pStyle w:val="ListParagraph"/>
        <w:numPr>
          <w:ilvl w:val="0"/>
          <w:numId w:val="1"/>
        </w:numPr>
        <w:rPr/>
      </w:pPr>
      <w:r>
        <w:rPr/>
        <w:t>A username field on user accounts, and login by either username or email address.</w:t>
      </w:r>
    </w:p>
    <w:p>
      <w:pPr>
        <w:pStyle w:val="Heading1"/>
        <w:rPr/>
      </w:pPr>
      <w:r>
        <w:rPr/>
        <w:t>10. Functional Modules</w:t>
      </w:r>
    </w:p>
    <w:tbl>
      <w:tblPr>
        <w:tblW w:w="9360" w:type="dxa"/>
        <w:jc w:val="left"/>
        <w:tblInd w:w="0" w:type="dxa"/>
        <w:tblLayout w:type="fixed"/>
        <w:tblCellMar>
          <w:top w:w="80" w:type="dxa"/>
          <w:left w:w="110" w:type="dxa"/>
          <w:bottom w:w="80" w:type="dxa"/>
          <w:right w:w="110" w:type="dxa"/>
        </w:tblCellMar>
      </w:tblPr>
      <w:tblGrid>
        <w:gridCol w:w="2000"/>
        <w:gridCol w:w="2600"/>
        <w:gridCol w:w="2759"/>
        <w:gridCol w:w="2000"/>
      </w:tblGrid>
      <w:tr>
        <w:trPr>
          <w:tblHeader w:val="true"/>
        </w:trPr>
        <w:tc>
          <w:tcPr>
            <w:tcW w:w="20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Module</w:t>
            </w:r>
          </w:p>
        </w:tc>
        <w:tc>
          <w:tcPr>
            <w:tcW w:w="26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Public</w:t>
            </w:r>
          </w:p>
        </w:tc>
        <w:tc>
          <w:tcPr>
            <w:tcW w:w="2759"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Administration</w:t>
            </w:r>
          </w:p>
        </w:tc>
        <w:tc>
          <w:tcPr>
            <w:tcW w:w="200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Partner portal</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Projects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Directory, detail, map, factsheet export</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Full CRUD, bespoke form, relations, gallery, attachments</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Submit and track</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Technologies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Catalogue, detail</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Schema-driven CRUD</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Submit and track</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Themes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Hub, detail</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Schema-driven CRUD</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Directory, profile</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Full CRUD with organisation profile</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Self-service profile editing</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Resources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Library, detail, view-only reader</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CRUD with restricted-file handling</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Submit and track</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Events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Calendar, detail</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Schema-driven CRUD</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Submit and track</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Opportunities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Listings, tenders browser, detail</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Schema-driven CRUD with type-conditional fields</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Submit and track</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Policies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Not surfaced publicly</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Schema-driven CRUD</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 and stories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Newsroom, detail, gallery</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Schema-driven CRUD</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Ranked cross-module search with facets</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Open data</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Aggregates, CSV, GeoJSON</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Workflow</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 queue, approve, reject, revisions</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Organisation approvals queue</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Users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Create, approve, suspend, assign roles</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Own-organisation team management</w:t>
            </w:r>
          </w:p>
        </w:tc>
      </w:tr>
      <w:tr>
        <w:trPr/>
        <w:tc>
          <w:tcPr>
            <w:tcW w:w="20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Analytics and reports</w:t>
            </w:r>
          </w:p>
        </w:tc>
        <w:tc>
          <w:tcPr>
            <w:tcW w:w="26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w:t>
            </w:r>
          </w:p>
        </w:tc>
        <w:tc>
          <w:tcPr>
            <w:tcW w:w="2759"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Overview dashboard and eight reports</w:t>
            </w:r>
          </w:p>
        </w:tc>
        <w:tc>
          <w:tcPr>
            <w:tcW w:w="200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r>
        <w:trPr/>
        <w:tc>
          <w:tcPr>
            <w:tcW w:w="20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Audit</w:t>
            </w:r>
          </w:p>
        </w:tc>
        <w:tc>
          <w:tcPr>
            <w:tcW w:w="26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w:t>
            </w:r>
          </w:p>
        </w:tc>
        <w:tc>
          <w:tcPr>
            <w:tcW w:w="2759"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Activity log, super administrator only</w:t>
            </w:r>
          </w:p>
        </w:tc>
        <w:tc>
          <w:tcPr>
            <w:tcW w:w="200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w:t>
            </w:r>
          </w:p>
        </w:tc>
      </w:tr>
    </w:tbl>
    <w:p>
      <w:pPr>
        <w:pStyle w:val="Normal"/>
        <w:spacing w:before="0" w:after="200"/>
        <w:rPr/>
      </w:pPr>
      <w:r>
        <w:rPr/>
      </w:r>
    </w:p>
    <w:p>
      <w:pPr>
        <w:pStyle w:val="Heading1"/>
        <w:rPr/>
      </w:pPr>
      <w:r>
        <w:rPr/>
        <w:t>11. Database Enhancements</w:t>
      </w:r>
    </w:p>
    <w:p>
      <w:pPr>
        <w:pStyle w:val="Normal"/>
        <w:rPr/>
      </w:pPr>
      <w:r>
        <w:rPr/>
        <w:t>The schema comprises 39 tables created by 34 migrations. Publishable entities share a common set of editorial columns — featured, published, workflow_status, created_by, review_notes and reviewed_at — and are associated through eight many-to-many tables.</w:t>
      </w:r>
    </w:p>
    <w:p>
      <w:pPr>
        <w:pStyle w:val="Normal"/>
        <w:rPr/>
      </w:pPr>
      <w:r>
        <w:rPr/>
        <w:t>Enhancements applied during this phase:</w:t>
      </w:r>
    </w:p>
    <w:p>
      <w:pPr>
        <w:pStyle w:val="ListParagraph"/>
        <w:numPr>
          <w:ilvl w:val="0"/>
          <w:numId w:val="1"/>
        </w:numPr>
        <w:rPr/>
      </w:pPr>
      <w:r>
        <w:rPr/>
        <w:t>Approximately twenty columns added to partners for the structured organisation profile, including jsonb arrays for coverage scope, countries, sectors, value chains and expertise.</w:t>
      </w:r>
    </w:p>
    <w:p>
      <w:pPr>
        <w:pStyle w:val="ListParagraph"/>
        <w:numPr>
          <w:ilvl w:val="0"/>
          <w:numId w:val="1"/>
        </w:numPr>
        <w:rPr/>
      </w:pPr>
      <w:r>
        <w:rPr/>
        <w:t>content_revisions, a polymorphic table holding pending edits to published records.</w:t>
      </w:r>
    </w:p>
    <w:p>
      <w:pPr>
        <w:pStyle w:val="ListParagraph"/>
        <w:numPr>
          <w:ilvl w:val="0"/>
          <w:numId w:val="1"/>
        </w:numPr>
        <w:rPr/>
      </w:pPr>
      <w:r>
        <w:rPr/>
        <w:t>Restricted file storage columns on resources: file_disk, file_path, file_name and file_downloadable.</w:t>
      </w:r>
    </w:p>
    <w:p>
      <w:pPr>
        <w:pStyle w:val="ListParagraph"/>
        <w:numPr>
          <w:ilvl w:val="0"/>
          <w:numId w:val="1"/>
        </w:numPr>
        <w:rPr/>
      </w:pPr>
      <w:r>
        <w:rPr/>
        <w:t>Job, vacancy and tender columns on opportunities: organization, duties_responsibilities, minimum_education, experience, competences, document_url and application_email.</w:t>
      </w:r>
    </w:p>
    <w:p>
      <w:pPr>
        <w:pStyle w:val="ListParagraph"/>
        <w:numPr>
          <w:ilvl w:val="0"/>
          <w:numId w:val="1"/>
        </w:numPr>
        <w:rPr/>
      </w:pPr>
      <w:r>
        <w:rPr/>
        <w:t>notifications and the queue tables supporting in-portal and queued notification delivery.</w:t>
      </w:r>
    </w:p>
    <w:p>
      <w:pPr>
        <w:pStyle w:val="ListParagraph"/>
        <w:numPr>
          <w:ilvl w:val="0"/>
          <w:numId w:val="1"/>
        </w:numPr>
        <w:rPr/>
      </w:pPr>
      <w:r>
        <w:rPr/>
        <w:t>Organisation-scoped roles and the partner_id link from users to partners.</w:t>
      </w:r>
    </w:p>
    <w:p>
      <w:pPr>
        <w:pStyle w:val="Normal"/>
        <w:rPr/>
      </w:pPr>
      <w:r>
        <w:rPr/>
        <w:t>SRS Section 6.1 additionally specified soft deletion, ON DELETE RESTRICT constraints on controlled taxonomies, and file-layer restriction of view-only files. Only the third is implemented; see Section 14.</w:t>
      </w:r>
    </w:p>
    <w:p>
      <w:pPr>
        <w:pStyle w:val="Heading1"/>
        <w:rPr/>
      </w:pPr>
      <w:r>
        <w:rPr/>
        <w:t>12. Reporting and Dashboard Enhancements</w:t>
      </w:r>
    </w:p>
    <w:p>
      <w:pPr>
        <w:pStyle w:val="Normal"/>
        <w:rPr/>
      </w:pPr>
      <w:r>
        <w:rPr/>
        <w:t>The reporting module produces eight period-scoped reports: platform overview, content inventory, content growth and trends, content utilisation, user engagement, project portfolio, stakeholder directory, and opportunities and events.</w:t>
      </w:r>
    </w:p>
    <w:p>
      <w:pPr>
        <w:pStyle w:val="Normal"/>
        <w:rPr/>
      </w:pPr>
      <w:r>
        <w:rPr/>
        <w:t>Each report is a self-describing document stating its period, summary figures and typed tabular sections. A single renderer consumes that structure, so a new report requires no front-end change: it appears in the catalogue, previews on screen, charts where marked, and exports to PDF and Excel automatically.</w:t>
      </w:r>
    </w:p>
    <w:p>
      <w:pPr>
        <w:pStyle w:val="Normal"/>
        <w:rPr/>
      </w:pPr>
      <w:r>
        <w:rPr/>
        <w:t>One limitation should be understood when the reports are used for external reporting. Content utilisation is derived from the editorial activity log and therefore measures staff and contributor activity, not public readership. The platform holds no audience measurement of any kind, so it cannot presently answer how many people used the site or what they read. SRS Section 11.3 raises this and it remains outstanding.</w:t>
      </w:r>
    </w:p>
    <w:p>
      <w:pPr>
        <w:pStyle w:val="Heading1"/>
        <w:rPr/>
      </w:pPr>
      <w:r>
        <w:rPr/>
        <w:t>13. API and System Integrations</w:t>
      </w:r>
    </w:p>
    <w:p>
      <w:pPr>
        <w:pStyle w:val="Normal"/>
        <w:rPr/>
      </w:pPr>
      <w:r>
        <w:rPr/>
        <w:t>A versioned REST API under /api/v1 exposes 103 routes. Unauthenticated read access covers published records across nine content types plus taxonomy, site configuration, search and open-data aggregates. Authenticated write access covers content creation and editing, workflow transitions, user and team management, submissions, newsletter administration, notifications, analytics, reporting and the audit trail. Authentication uses bearer tokens issued on sign-in.</w:t>
      </w:r>
    </w:p>
    <w:p>
      <w:pPr>
        <w:pStyle w:val="Normal"/>
        <w:rPr/>
      </w:pPr>
      <w:r>
        <w:rPr/>
        <w:t>Third-party services are limited to two read-only presentation-layer dependencies: a place-name geocoding service used when a record is authored, and a vector map tile provider. Neither holds platform data. No integration with an external national system forms part of this delivery; the public read API is the surface over which such an integration would be built.</w:t>
      </w:r>
    </w:p>
    <w:p>
      <w:pPr>
        <w:pStyle w:val="Normal"/>
        <w:rPr/>
      </w:pPr>
      <w:r>
        <w:rPr/>
        <w:t>SRS Section 4.2.1 specifies a uniform error envelope carrying success, code, message, details and timestamp for every non-2xx response. This is not implemented; the API returns Laravel's default validation and error shapes. See Section 14.</w:t>
      </w:r>
    </w:p>
    <w:p>
      <w:pPr>
        <w:pStyle w:val="Heading1"/>
        <w:rPr/>
      </w:pPr>
      <w:r>
        <w:rPr/>
        <w:t>14. Non-Functional Requirements: Status</w:t>
      </w:r>
    </w:p>
    <w:p>
      <w:pPr>
        <w:pStyle w:val="Normal"/>
        <w:rPr/>
      </w:pPr>
      <w:r>
        <w:rPr/>
        <w:t>SRS Section 5 and Section 6.1 specify a number of controls that are not present in the delivered system. They are listed here in full because several are security-relevant and because the SRS text does not distinguish them from the requirements that were met.</w:t>
      </w:r>
    </w:p>
    <w:tbl>
      <w:tblPr>
        <w:tblW w:w="9360" w:type="dxa"/>
        <w:jc w:val="left"/>
        <w:tblInd w:w="0" w:type="dxa"/>
        <w:tblLayout w:type="fixed"/>
        <w:tblCellMar>
          <w:top w:w="80" w:type="dxa"/>
          <w:left w:w="110" w:type="dxa"/>
          <w:bottom w:w="80" w:type="dxa"/>
          <w:right w:w="110" w:type="dxa"/>
        </w:tblCellMar>
      </w:tblPr>
      <w:tblGrid>
        <w:gridCol w:w="3100"/>
        <w:gridCol w:w="1500"/>
        <w:gridCol w:w="4760"/>
      </w:tblGrid>
      <w:tr>
        <w:trPr>
          <w:tblHeader w:val="true"/>
        </w:trPr>
        <w:tc>
          <w:tcPr>
            <w:tcW w:w="31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SRS requirement</w:t>
            </w:r>
          </w:p>
        </w:tc>
        <w:tc>
          <w:tcPr>
            <w:tcW w:w="15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Status</w:t>
            </w:r>
          </w:p>
        </w:tc>
        <w:tc>
          <w:tcPr>
            <w:tcW w:w="47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Verified position</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Multi-factor authentication for super administrator and platform administrator accounts</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MFA, TOTP or two-factor implementation exists in the codebase</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Bearer tokens expire after 15 minutes with a refresh token</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config/sanctum.php sets expiration to null; issued tokens do not expire</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Rate limit of 60 requests per minute on authentication, registration, upload and public submission routes</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 stricter</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Applied per route at 5, 6, 10, 30 and 60 per minute; all at or below the specified ceiling</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Uniform API error envelope (Section 4.2.1)</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implementation found; default framework error shapes are returned</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Soft deletion with deleted_at on core content types; hard deletes forbidden</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SoftDeletes trait on any model and no deleted_at column in any table</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ON DELETE RESTRICT on controlled-taxonomy foreign keys</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Taxonomy values are stored as strings on content records rather than as foreign keys, so the constraint has nothing to attach to</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Timestamped consent logging for personal data</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consent column or logging found</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Anonymise or expunge submissions after 24 months of inactivity</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retention or anonymisation routine exists; no scheduler is configured to run one</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Upload MIME-type and extension validation</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MediaController validates against an allow-list of image and document MIME types</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Automated backups with a rehearsed restore</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Requires confirmation</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deployment notes record that backups are not configured on the current host; NREP should confirm the production position</w:t>
            </w:r>
          </w:p>
        </w:tc>
      </w:tr>
      <w:tr>
        <w:trPr/>
        <w:tc>
          <w:tcPr>
            <w:tcW w:w="31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Page weight under 250KB; API under 200ms at 500 concurrent requests; Lighthouse 90+; search under 100ms</w:t>
            </w:r>
          </w:p>
        </w:tc>
        <w:tc>
          <w:tcPr>
            <w:tcW w:w="15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Unverified</w:t>
            </w:r>
          </w:p>
        </w:tc>
        <w:tc>
          <w:tcPr>
            <w:tcW w:w="47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load testing or Lighthouse measurement has been performed; these targets are neither demonstrated nor disproved</w:t>
            </w:r>
          </w:p>
        </w:tc>
      </w:tr>
      <w:tr>
        <w:trPr/>
        <w:tc>
          <w:tcPr>
            <w:tcW w:w="31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WCAG 2.1 Level AA</w:t>
            </w:r>
          </w:p>
        </w:tc>
        <w:tc>
          <w:tcPr>
            <w:tcW w:w="15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Partially verified</w:t>
            </w:r>
          </w:p>
        </w:tc>
        <w:tc>
          <w:tcPr>
            <w:tcW w:w="47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Accessibility rules are enforced in the build and a statement is published; no independent audit has been carried out</w:t>
            </w:r>
          </w:p>
        </w:tc>
      </w:tr>
    </w:tbl>
    <w:p>
      <w:pPr>
        <w:pStyle w:val="Normal"/>
        <w:spacing w:before="0" w:after="200"/>
        <w:rPr/>
      </w:pPr>
      <w:r>
        <w:rPr/>
      </w:r>
    </w:p>
    <w:p>
      <w:pPr>
        <w:pStyle w:val="Heading1"/>
        <w:rPr/>
      </w:pPr>
      <w:r>
        <w:rPr/>
        <w:t>15. Authentication and Authorization</w:t>
      </w:r>
    </w:p>
    <w:p>
      <w:pPr>
        <w:pStyle w:val="Normal"/>
        <w:rPr/>
      </w:pPr>
      <w:r>
        <w:rPr/>
        <w:t>Authentication is by bearer token issued on sign-in and revoked on sign-out. Registration creates an inactive account; a suspended account loses access immediately. Nine roles are defined — six platform and three organisation-scoped.</w:t>
      </w:r>
    </w:p>
    <w:tbl>
      <w:tblPr>
        <w:tblW w:w="9360" w:type="dxa"/>
        <w:jc w:val="left"/>
        <w:tblInd w:w="0" w:type="dxa"/>
        <w:tblLayout w:type="fixed"/>
        <w:tblCellMar>
          <w:top w:w="80" w:type="dxa"/>
          <w:left w:w="110" w:type="dxa"/>
          <w:bottom w:w="80" w:type="dxa"/>
          <w:right w:w="110" w:type="dxa"/>
        </w:tblCellMar>
      </w:tblPr>
      <w:tblGrid>
        <w:gridCol w:w="2399"/>
        <w:gridCol w:w="3480"/>
        <w:gridCol w:w="348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Role</w:t>
            </w:r>
          </w:p>
        </w:tc>
        <w:tc>
          <w:tcPr>
            <w:tcW w:w="348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Content rights</w:t>
            </w:r>
          </w:p>
        </w:tc>
        <w:tc>
          <w:tcPr>
            <w:tcW w:w="348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Administrative rights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Super administrator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All content; publish; review queue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Everything, including system settings and the audit trail</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Platform administrator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All content; publish; review queue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Users, roles, taxonomy, site configuration, analytics and reports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Knowledge manager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All content; publish; review queue</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Analytics and reports; no user management</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Content contributor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Own content only, submitted for review</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None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Reviewer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Authors nothing</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Review queue only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Own content only, submitted for review</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Partner portal only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administrator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Own organisation's content</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Own organisation's accounts and organisation-scoped roles only</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 knowledge manager</w:t>
            </w:r>
          </w:p>
        </w:tc>
        <w:tc>
          <w:tcPr>
            <w:tcW w:w="348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Own organisation's content; may endorse to NREP</w:t>
            </w:r>
          </w:p>
        </w:tc>
        <w:tc>
          <w:tcPr>
            <w:tcW w:w="348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None</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Partner content contributor</w:t>
            </w:r>
          </w:p>
        </w:tc>
        <w:tc>
          <w:tcPr>
            <w:tcW w:w="348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Own organisation's content, submitted for review</w:t>
            </w:r>
          </w:p>
        </w:tc>
        <w:tc>
          <w:tcPr>
            <w:tcW w:w="348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None</w:t>
            </w:r>
          </w:p>
        </w:tc>
      </w:tr>
    </w:tbl>
    <w:p>
      <w:pPr>
        <w:pStyle w:val="Normal"/>
        <w:spacing w:before="0" w:after="200"/>
        <w:rPr/>
      </w:pPr>
      <w:r>
        <w:rPr/>
      </w:r>
    </w:p>
    <w:p>
      <w:pPr>
        <w:pStyle w:val="Normal"/>
        <w:rPr/>
      </w:pPr>
      <w:r>
        <w:rPr/>
        <w:t>Two design rules are enforced structurally rather than by convention. A reviewer may never approve a record they authored, at either the organisation or the platform stage. And the gates guarding system settings and the audit trail return false for every role, so only the super administrator's blanket authorisation admits them — an omitted check cannot accidentally open them.</w:t>
      </w:r>
    </w:p>
    <w:p>
      <w:pPr>
        <w:pStyle w:val="Heading1"/>
        <w:rPr/>
      </w:pPr>
      <w:r>
        <w:rPr/>
        <w:t>16. Data Validation and Business Rules</w:t>
      </w:r>
    </w:p>
    <w:p>
      <w:pPr>
        <w:pStyle w:val="ListParagraph"/>
        <w:numPr>
          <w:ilvl w:val="0"/>
          <w:numId w:val="1"/>
        </w:numPr>
        <w:rPr/>
      </w:pPr>
      <w:r>
        <w:rPr/>
        <w:t>Protected attributes — published, workflow_status, featured, created_by, slug, reviewed_at and review_notes — are stripped from partner and contributor payloads on write, closing a self-publishing route.</w:t>
      </w:r>
    </w:p>
    <w:p>
      <w:pPr>
        <w:pStyle w:val="ListParagraph"/>
        <w:numPr>
          <w:ilvl w:val="0"/>
          <w:numId w:val="1"/>
        </w:numPr>
        <w:rPr/>
      </w:pPr>
      <w:r>
        <w:rPr/>
        <w:t>Rich-text fields are rebuilt from an allow-list on write, so an element not on the list cannot be stored however it is encoded; links are restricted to safe schemes and external links carry noopener.</w:t>
      </w:r>
    </w:p>
    <w:p>
      <w:pPr>
        <w:pStyle w:val="ListParagraph"/>
        <w:numPr>
          <w:ilvl w:val="0"/>
          <w:numId w:val="1"/>
        </w:numPr>
        <w:rPr/>
      </w:pPr>
      <w:r>
        <w:rPr/>
        <w:t>Email and telephone validation rules are applied in both the interface and the API.</w:t>
      </w:r>
    </w:p>
    <w:p>
      <w:pPr>
        <w:pStyle w:val="ListParagraph"/>
        <w:numPr>
          <w:ilvl w:val="0"/>
          <w:numId w:val="1"/>
        </w:numPr>
        <w:rPr/>
      </w:pPr>
      <w:r>
        <w:rPr/>
        <w:t>Areas of expertise are capped at three selections, with the limit stated to the registrant.</w:t>
      </w:r>
    </w:p>
    <w:p>
      <w:pPr>
        <w:pStyle w:val="ListParagraph"/>
        <w:numPr>
          <w:ilvl w:val="0"/>
          <w:numId w:val="1"/>
        </w:numPr>
        <w:rPr/>
      </w:pPr>
      <w:r>
        <w:rPr/>
        <w:t>Uploads are validated against an allow-list of image and document MIME types.</w:t>
      </w:r>
    </w:p>
    <w:p>
      <w:pPr>
        <w:pStyle w:val="ListParagraph"/>
        <w:numPr>
          <w:ilvl w:val="0"/>
          <w:numId w:val="1"/>
        </w:numPr>
        <w:rPr/>
      </w:pPr>
      <w:r>
        <w:rPr/>
        <w:t>Partner-authored content is forced to pending and unpublished regardless of the flags submitted.</w:t>
      </w:r>
    </w:p>
    <w:p>
      <w:pPr>
        <w:pStyle w:val="Normal"/>
        <w:rPr/>
      </w:pPr>
      <w:r>
        <w:rPr/>
        <w:t>Not implemented: validation that project coordinates fall within Uganda's bounding box (FR-10.8).</w:t>
      </w:r>
    </w:p>
    <w:p>
      <w:pPr>
        <w:pStyle w:val="Heading1"/>
        <w:rPr/>
      </w:pPr>
      <w:r>
        <w:rPr/>
        <w:t>17. Testing and Quality Assurance</w:t>
      </w:r>
    </w:p>
    <w:p>
      <w:pPr>
        <w:pStyle w:val="Normal"/>
        <w:rPr/>
      </w:pPr>
      <w:r>
        <w:rPr/>
        <w:t>The backend carries 147 automated feature tests across 11 test classes, running against PostgreSQL. At the time of writing 144 pass and 3 fail.</w:t>
      </w:r>
    </w:p>
    <w:p>
      <w:pPr>
        <w:pStyle w:val="Normal"/>
        <w:rPr/>
      </w:pPr>
      <w:r>
        <w:rPr/>
        <w:t>All three failures were investigated and none is a product defect:</w:t>
      </w:r>
    </w:p>
    <w:p>
      <w:pPr>
        <w:pStyle w:val="ListParagraph"/>
        <w:numPr>
          <w:ilvl w:val="0"/>
          <w:numId w:val="1"/>
        </w:numPr>
        <w:rPr/>
      </w:pPr>
      <w:r>
        <w:rPr/>
        <w:t>Two registration tests in PlatformTest submit a payload without a username and now receive a validation error. The username field became required in order to satisfy FR-5.9; the test fixtures were not updated with it.</w:t>
      </w:r>
    </w:p>
    <w:p>
      <w:pPr>
        <w:pStyle w:val="ListParagraph"/>
        <w:numPr>
          <w:ilvl w:val="0"/>
          <w:numId w:val="1"/>
        </w:numPr>
        <w:rPr/>
      </w:pPr>
      <w:r>
        <w:rPr/>
        <w:t>One stakeholder-directory test in ReportsTest asserts a single row. A later migration seeds NREP's own partner record, so the report correctly returns two. The report's exclusion of unpublished partners — the behaviour under test — works correctly.</w:t>
      </w:r>
    </w:p>
    <w:p>
      <w:pPr>
        <w:pStyle w:val="Normal"/>
        <w:rPr/>
      </w:pPr>
      <w:r>
        <w:rPr/>
        <w:t>Both should be corrected so that the suite returns to green and continues to signal real regressions.</w:t>
      </w:r>
    </w:p>
    <w:p>
      <w:pPr>
        <w:pStyle w:val="Normal"/>
        <w:rPr/>
      </w:pPr>
      <w:r>
        <w:rPr/>
        <w:t>Against the testing framework in SRS Section 13, the position is:</w:t>
      </w:r>
    </w:p>
    <w:tbl>
      <w:tblPr>
        <w:tblW w:w="9360" w:type="dxa"/>
        <w:jc w:val="left"/>
        <w:tblInd w:w="0" w:type="dxa"/>
        <w:tblLayout w:type="fixed"/>
        <w:tblCellMar>
          <w:top w:w="80" w:type="dxa"/>
          <w:left w:w="110" w:type="dxa"/>
          <w:bottom w:w="80" w:type="dxa"/>
          <w:right w:w="110" w:type="dxa"/>
        </w:tblCellMar>
      </w:tblPr>
      <w:tblGrid>
        <w:gridCol w:w="5600"/>
        <w:gridCol w:w="3759"/>
      </w:tblGrid>
      <w:tr>
        <w:trPr>
          <w:tblHeader w:val="true"/>
        </w:trPr>
        <w:tc>
          <w:tcPr>
            <w:tcW w:w="5600"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SRS testing gate</w:t>
            </w:r>
          </w:p>
        </w:tc>
        <w:tc>
          <w:tcPr>
            <w:tcW w:w="3759"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Status</w:t>
            </w:r>
          </w:p>
        </w:tc>
      </w:tr>
      <w:tr>
        <w:trPr/>
        <w:tc>
          <w:tcPr>
            <w:tcW w:w="5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Backend unit and feature tests (PHPUnit)</w:t>
            </w:r>
          </w:p>
        </w:tc>
        <w:tc>
          <w:tcPr>
            <w:tcW w:w="3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Implemented — 147 tests</w:t>
            </w:r>
          </w:p>
        </w:tc>
      </w:tr>
      <w:tr>
        <w:trPr/>
        <w:tc>
          <w:tcPr>
            <w:tcW w:w="5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Frontend unit and component tests (Jest)</w:t>
            </w:r>
          </w:p>
        </w:tc>
        <w:tc>
          <w:tcPr>
            <w:tcW w:w="3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Jest or Vitest configuration exists</w:t>
            </w:r>
          </w:p>
        </w:tc>
      </w:tr>
      <w:tr>
        <w:trPr/>
        <w:tc>
          <w:tcPr>
            <w:tcW w:w="5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Role and security verification</w:t>
            </w:r>
          </w:p>
        </w:tc>
        <w:tc>
          <w:tcPr>
            <w:tcW w:w="3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Implemented — access control is covered by the backend suite</w:t>
            </w:r>
          </w:p>
        </w:tc>
      </w:tr>
      <w:tr>
        <w:trPr/>
        <w:tc>
          <w:tcPr>
            <w:tcW w:w="5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End-to-end integration (Cypress or Playwright)</w:t>
            </w:r>
          </w:p>
        </w:tc>
        <w:tc>
          <w:tcPr>
            <w:tcW w:w="3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E2E framework is present</w:t>
            </w:r>
          </w:p>
        </w:tc>
      </w:tr>
      <w:tr>
        <w:trPr/>
        <w:tc>
          <w:tcPr>
            <w:tcW w:w="5600"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Performance and mobile SLA tests (K6, JMeter, Lighthouse)</w:t>
            </w:r>
          </w:p>
        </w:tc>
        <w:tc>
          <w:tcPr>
            <w:tcW w:w="3759"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load or Lighthouse testing performed</w:t>
            </w:r>
          </w:p>
        </w:tc>
      </w:tr>
      <w:tr>
        <w:trPr/>
        <w:tc>
          <w:tcPr>
            <w:tcW w:w="5600"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Continuous integration pipeline</w:t>
            </w:r>
          </w:p>
        </w:tc>
        <w:tc>
          <w:tcPr>
            <w:tcW w:w="3759"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Outstanding — no CI workflow exists in the repository</w:t>
            </w:r>
          </w:p>
        </w:tc>
      </w:tr>
    </w:tbl>
    <w:p>
      <w:pPr>
        <w:pStyle w:val="Normal"/>
        <w:spacing w:before="0" w:after="200"/>
        <w:rPr/>
      </w:pPr>
      <w:r>
        <w:rPr/>
      </w:r>
    </w:p>
    <w:p>
      <w:pPr>
        <w:pStyle w:val="Normal"/>
        <w:rPr/>
      </w:pPr>
      <w:r>
        <w:rPr/>
        <w:t>TypeScript type checking and ESLint, including accessibility rules, run clean across the front end and serve as the current static quality gate.</w:t>
      </w:r>
    </w:p>
    <w:p>
      <w:pPr>
        <w:pStyle w:val="Heading1"/>
        <w:rPr/>
      </w:pPr>
      <w:r>
        <w:rPr/>
        <w:t>18. Deployment and Release Considerations</w:t>
      </w:r>
    </w:p>
    <w:p>
      <w:pPr>
        <w:pStyle w:val="Normal"/>
        <w:rPr/>
      </w:pPr>
      <w:r>
        <w:rPr/>
        <w:t>The application is deployed by copying the API into the document root, mirroring the exported front end into the public path, running migrations and clearing caches. The deployment script mirrors the static export directory with deletion enabled — deliberately, because a stale prerendered page would otherwise be served ahead of the current one — while leaving the rest of the tree additive so that uploads, environment files and version control are not disturbed.</w:t>
      </w:r>
    </w:p>
    <w:p>
      <w:pPr>
        <w:pStyle w:val="Normal"/>
        <w:rPr/>
      </w:pPr>
      <w:r>
        <w:rPr/>
        <w:t>Operational matters requiring NREP's attention before public launch are consolidated in Section 20.</w:t>
      </w:r>
    </w:p>
    <w:p>
      <w:pPr>
        <w:pStyle w:val="Heading1"/>
        <w:rPr/>
      </w:pPr>
      <w:r>
        <w:rPr/>
        <w:t>19. Requirements Implemented, Partial and Outstanding</w:t>
      </w:r>
    </w:p>
    <w:p>
      <w:pPr>
        <w:pStyle w:val="Heading2"/>
        <w:rPr/>
      </w:pPr>
      <w:r>
        <w:rPr/>
        <w:t>19.1 Summary</w:t>
      </w:r>
    </w:p>
    <w:tbl>
      <w:tblPr>
        <w:tblW w:w="9360" w:type="dxa"/>
        <w:jc w:val="left"/>
        <w:tblInd w:w="0" w:type="dxa"/>
        <w:tblLayout w:type="fixed"/>
        <w:tblCellMar>
          <w:top w:w="80" w:type="dxa"/>
          <w:left w:w="110" w:type="dxa"/>
          <w:bottom w:w="80" w:type="dxa"/>
          <w:right w:w="110" w:type="dxa"/>
        </w:tblCellMar>
      </w:tblPr>
      <w:tblGrid>
        <w:gridCol w:w="2399"/>
        <w:gridCol w:w="1200"/>
        <w:gridCol w:w="5761"/>
      </w:tblGrid>
      <w:tr>
        <w:trPr>
          <w:tblHeader w:val="true"/>
        </w:trPr>
        <w:tc>
          <w:tcPr>
            <w:tcW w:w="23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Category</w:t>
            </w:r>
          </w:p>
        </w:tc>
        <w:tc>
          <w:tcPr>
            <w:tcW w:w="120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Count</w:t>
            </w:r>
          </w:p>
        </w:tc>
        <w:tc>
          <w:tcPr>
            <w:tcW w:w="576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Requirements</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Implemented</w:t>
            </w:r>
          </w:p>
        </w:tc>
        <w:tc>
          <w:tcPr>
            <w:tcW w:w="12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71</w:t>
            </w:r>
          </w:p>
        </w:tc>
        <w:tc>
          <w:tcPr>
            <w:tcW w:w="57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majority of FR-1 through FR-17</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Partial</w:t>
            </w:r>
          </w:p>
        </w:tc>
        <w:tc>
          <w:tcPr>
            <w:tcW w:w="12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4</w:t>
            </w:r>
          </w:p>
        </w:tc>
        <w:tc>
          <w:tcPr>
            <w:tcW w:w="57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FR-1.2, FR-11.3, FR-12.2, FR-15.3, FR-15.7, FR-15.8, FR-14.5 (see note)</w:t>
            </w:r>
          </w:p>
        </w:tc>
      </w:tr>
      <w:tr>
        <w:trPr/>
        <w:tc>
          <w:tcPr>
            <w:tcW w:w="23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Outstanding</w:t>
            </w:r>
          </w:p>
        </w:tc>
        <w:tc>
          <w:tcPr>
            <w:tcW w:w="120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3</w:t>
            </w:r>
          </w:p>
        </w:tc>
        <w:tc>
          <w:tcPr>
            <w:tcW w:w="576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FR-10.8, FR-10.9, FR-15.12</w:t>
            </w:r>
          </w:p>
        </w:tc>
      </w:tr>
      <w:tr>
        <w:trPr/>
        <w:tc>
          <w:tcPr>
            <w:tcW w:w="23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Changed after SRS</w:t>
            </w:r>
          </w:p>
        </w:tc>
        <w:tc>
          <w:tcPr>
            <w:tcW w:w="120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1</w:t>
            </w:r>
          </w:p>
        </w:tc>
        <w:tc>
          <w:tcPr>
            <w:tcW w:w="576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FR-8.3</w:t>
            </w:r>
          </w:p>
        </w:tc>
      </w:tr>
    </w:tbl>
    <w:p>
      <w:pPr>
        <w:pStyle w:val="Normal"/>
        <w:spacing w:before="0" w:after="200"/>
        <w:rPr/>
      </w:pPr>
      <w:r>
        <w:rPr/>
      </w:r>
    </w:p>
    <w:p>
      <w:pPr>
        <w:pStyle w:val="Normal"/>
        <w:rPr/>
      </w:pPr>
      <w:r>
        <w:rPr/>
        <w:t>Note: the partial count of four refers to requirements partial for functional reasons. FR-14.5, FR-12.2 and FR-5.13 are functionally complete but cannot deliver email until an SMTP relay is configured; they are treated as environment-blocked rather than incomplete, and are listed in Section 20.</w:t>
      </w:r>
    </w:p>
    <w:p>
      <w:pPr>
        <w:pStyle w:val="Heading2"/>
        <w:rPr/>
      </w:pPr>
      <w:r>
        <w:rPr/>
        <w:t>19.2 Outstanding requirements</w:t>
      </w:r>
    </w:p>
    <w:tbl>
      <w:tblPr>
        <w:tblW w:w="9360" w:type="dxa"/>
        <w:jc w:val="left"/>
        <w:tblInd w:w="0" w:type="dxa"/>
        <w:tblLayout w:type="fixed"/>
        <w:tblCellMar>
          <w:top w:w="80" w:type="dxa"/>
          <w:left w:w="110" w:type="dxa"/>
          <w:bottom w:w="80" w:type="dxa"/>
          <w:right w:w="110" w:type="dxa"/>
        </w:tblCellMar>
      </w:tblPr>
      <w:tblGrid>
        <w:gridCol w:w="1099"/>
        <w:gridCol w:w="3260"/>
        <w:gridCol w:w="5001"/>
      </w:tblGrid>
      <w:tr>
        <w:trPr>
          <w:tblHeader w:val="true"/>
        </w:trPr>
        <w:tc>
          <w:tcPr>
            <w:tcW w:w="10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ID</w:t>
            </w:r>
          </w:p>
        </w:tc>
        <w:tc>
          <w:tcPr>
            <w:tcW w:w="326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w:t>
            </w:r>
          </w:p>
        </w:tc>
        <w:tc>
          <w:tcPr>
            <w:tcW w:w="500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Effect of the gap</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FR-10.8</w:t>
            </w:r>
          </w:p>
        </w:tc>
        <w:tc>
          <w:tcPr>
            <w:tcW w:w="326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Validate project coordinates fall within Uganda</w:t>
            </w:r>
          </w:p>
        </w:tc>
        <w:tc>
          <w:tcPr>
            <w:tcW w:w="500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 mis-typed coordinate can place a project outside the country and onto the public map without challenge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FR-10.9</w:t>
            </w:r>
          </w:p>
        </w:tc>
        <w:tc>
          <w:tcPr>
            <w:tcW w:w="326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Spatial point-clustering on the map</w:t>
            </w:r>
          </w:p>
        </w:tc>
        <w:tc>
          <w:tcPr>
            <w:tcW w:w="500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Map rendering cost grows with the number of projects; acceptable at present volumes, degrading as the register fills</w:t>
            </w:r>
          </w:p>
        </w:tc>
      </w:tr>
      <w:tr>
        <w:trPr/>
        <w:tc>
          <w:tcPr>
            <w:tcW w:w="10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FR-15.12</w:t>
            </w:r>
          </w:p>
        </w:tc>
        <w:tc>
          <w:tcPr>
            <w:tcW w:w="326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Server-side pagination beyond 1,000 records</w:t>
            </w:r>
          </w:p>
        </w:tc>
        <w:tc>
          <w:tcPr>
            <w:tcW w:w="500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Administration lists load whole collections into the browser; the SRS sets 1,000 records as the point at which this must change</w:t>
            </w:r>
          </w:p>
        </w:tc>
      </w:tr>
    </w:tbl>
    <w:p>
      <w:pPr>
        <w:pStyle w:val="Normal"/>
        <w:spacing w:before="0" w:after="200"/>
        <w:rPr/>
      </w:pPr>
      <w:r>
        <w:rPr/>
      </w:r>
    </w:p>
    <w:p>
      <w:pPr>
        <w:pStyle w:val="Heading2"/>
        <w:rPr/>
      </w:pPr>
      <w:r>
        <w:rPr/>
        <w:t>19.3 Partially implemented requirements</w:t>
      </w:r>
    </w:p>
    <w:tbl>
      <w:tblPr>
        <w:tblW w:w="9360" w:type="dxa"/>
        <w:jc w:val="left"/>
        <w:tblInd w:w="0" w:type="dxa"/>
        <w:tblLayout w:type="fixed"/>
        <w:tblCellMar>
          <w:top w:w="80" w:type="dxa"/>
          <w:left w:w="110" w:type="dxa"/>
          <w:bottom w:w="80" w:type="dxa"/>
          <w:right w:w="110" w:type="dxa"/>
        </w:tblCellMar>
      </w:tblPr>
      <w:tblGrid>
        <w:gridCol w:w="1099"/>
        <w:gridCol w:w="2460"/>
        <w:gridCol w:w="5801"/>
      </w:tblGrid>
      <w:tr>
        <w:trPr>
          <w:tblHeader w:val="true"/>
        </w:trPr>
        <w:tc>
          <w:tcPr>
            <w:tcW w:w="10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ID</w:t>
            </w:r>
          </w:p>
        </w:tc>
        <w:tc>
          <w:tcPr>
            <w:tcW w:w="2460" w:type="dxa"/>
            <w:tcBorders>
              <w:top w:val="single" w:sz="4" w:space="0" w:color="C8D6CE"/>
              <w:left w:val="single" w:sz="2"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Requirement</w:t>
            </w:r>
          </w:p>
        </w:tc>
        <w:tc>
          <w:tcPr>
            <w:tcW w:w="5801"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What remains</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FR-1.2 / FR-15.8</w:t>
            </w:r>
          </w:p>
        </w:tc>
        <w:tc>
          <w:tcPr>
            <w:tcW w:w="246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Site configuration</w:t>
            </w:r>
          </w:p>
        </w:tc>
        <w:tc>
          <w:tcPr>
            <w:tcW w:w="580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API endpoint exists; build the administration screen that calls it. Until then NREP cannot change hero content, headline statistics or featured selections without a developer</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FR-15.7</w:t>
            </w:r>
          </w:p>
        </w:tc>
        <w:tc>
          <w:tcPr>
            <w:tcW w:w="246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Taxonomy management</w:t>
            </w:r>
          </w:p>
        </w:tc>
        <w:tc>
          <w:tcPr>
            <w:tcW w:w="580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API endpoint exists; build the administration screen that calls it</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FR-11.3</w:t>
            </w:r>
          </w:p>
        </w:tc>
        <w:tc>
          <w:tcPr>
            <w:tcW w:w="246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Search filters beyond content type</w:t>
            </w:r>
          </w:p>
        </w:tc>
        <w:tc>
          <w:tcPr>
            <w:tcW w:w="580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Add theme, technology, organisation and location filters to the search endpoint and interface</w:t>
            </w:r>
          </w:p>
        </w:tc>
      </w:tr>
      <w:tr>
        <w:trPr/>
        <w:tc>
          <w:tcPr>
            <w:tcW w:w="10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FR-12.2</w:t>
            </w:r>
          </w:p>
        </w:tc>
        <w:tc>
          <w:tcPr>
            <w:tcW w:w="2460" w:type="dxa"/>
            <w:tcBorders>
              <w:top w:val="single" w:sz="2" w:space="0" w:color="C8D6CE"/>
              <w:left w:val="single" w:sz="2"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Submission acknowledgement</w:t>
            </w:r>
          </w:p>
        </w:tc>
        <w:tc>
          <w:tcPr>
            <w:tcW w:w="5801"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Dispatch the acknowledgement the email_status column already anticipates (SubmissionController.php:42)</w:t>
            </w:r>
          </w:p>
        </w:tc>
      </w:tr>
      <w:tr>
        <w:trPr/>
        <w:tc>
          <w:tcPr>
            <w:tcW w:w="10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FR-15.3</w:t>
            </w:r>
          </w:p>
        </w:tc>
        <w:tc>
          <w:tcPr>
            <w:tcW w:w="2460" w:type="dxa"/>
            <w:tcBorders>
              <w:top w:val="single" w:sz="2" w:space="0" w:color="C8D6CE"/>
              <w:left w:val="single" w:sz="2"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Administration list filtering</w:t>
            </w:r>
          </w:p>
        </w:tc>
        <w:tc>
          <w:tcPr>
            <w:tcW w:w="5801"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Move filtering to the server and add a date-range filter across all lists</w:t>
            </w:r>
          </w:p>
        </w:tc>
      </w:tr>
    </w:tbl>
    <w:p>
      <w:pPr>
        <w:pStyle w:val="Normal"/>
        <w:spacing w:before="0" w:after="200"/>
        <w:rPr/>
      </w:pPr>
      <w:r>
        <w:rPr/>
      </w:r>
    </w:p>
    <w:p>
      <w:pPr>
        <w:pStyle w:val="Heading1"/>
        <w:rPr/>
      </w:pPr>
      <w:r>
        <w:rPr/>
        <w:t>20. Challenges, Resolutions and Items for NREP</w:t>
      </w:r>
    </w:p>
    <w:p>
      <w:pPr>
        <w:pStyle w:val="Heading2"/>
        <w:rPr/>
      </w:pPr>
      <w:r>
        <w:rPr/>
        <w:t>20.1 Challenges encountered and resolved</w:t>
      </w:r>
    </w:p>
    <w:tbl>
      <w:tblPr>
        <w:tblW w:w="9360" w:type="dxa"/>
        <w:jc w:val="left"/>
        <w:tblInd w:w="0" w:type="dxa"/>
        <w:tblLayout w:type="fixed"/>
        <w:tblCellMar>
          <w:top w:w="80" w:type="dxa"/>
          <w:left w:w="110" w:type="dxa"/>
          <w:bottom w:w="80" w:type="dxa"/>
          <w:right w:w="110" w:type="dxa"/>
        </w:tblCellMar>
      </w:tblPr>
      <w:tblGrid>
        <w:gridCol w:w="4199"/>
        <w:gridCol w:w="5160"/>
      </w:tblGrid>
      <w:tr>
        <w:trPr>
          <w:tblHeader w:val="true"/>
        </w:trPr>
        <w:tc>
          <w:tcPr>
            <w:tcW w:w="41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Challenge</w:t>
            </w:r>
          </w:p>
        </w:tc>
        <w:tc>
          <w:tcPr>
            <w:tcW w:w="51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Resolution</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Partner-submitted content could reach publication by setting flags directly on the API payload</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Protected attributes are stripped on write for non-managing roles, and the workflow state is set by the server</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An edit to a published record took the live version down while it awaited review</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Edits to published records are parked as revisions; the published version stays live until the change is approved</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Bulk publishing notified nobody, while the same record published from the review queue notified everyone</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Notification fan-out was extracted into a shared trait used by both paths</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A stale prerendered page was served ahead of the current one after deployment</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static export directory is mirrored with deletion enabled, while the rest of the tree stays additive</w:t>
            </w:r>
          </w:p>
        </w:tc>
      </w:tr>
      <w:tr>
        <w:trPr/>
        <w:tc>
          <w:tcPr>
            <w:tcW w:w="41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Rich-text fields introduced a stored cross-site-scripting risk, reachable by partners</w:t>
            </w:r>
          </w:p>
        </w:tc>
        <w:tc>
          <w:tcPr>
            <w:tcW w:w="51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HTML is rebuilt from an allow-list on write and sanitised again on render</w:t>
            </w:r>
          </w:p>
        </w:tc>
      </w:tr>
      <w:tr>
        <w:trPr/>
        <w:tc>
          <w:tcPr>
            <w:tcW w:w="41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Rich-text content did not appear on first load because React does not reconcile injected HTML during hydration</w:t>
            </w:r>
          </w:p>
        </w:tc>
        <w:tc>
          <w:tcPr>
            <w:tcW w:w="51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Rendering was deferred to a post-hydration pass, which is the render that applies the markup</w:t>
            </w:r>
          </w:p>
        </w:tc>
      </w:tr>
    </w:tbl>
    <w:p>
      <w:pPr>
        <w:pStyle w:val="Normal"/>
        <w:spacing w:before="0" w:after="200"/>
        <w:rPr/>
      </w:pPr>
      <w:r>
        <w:rPr/>
      </w:r>
    </w:p>
    <w:p>
      <w:pPr>
        <w:pStyle w:val="Heading2"/>
        <w:rPr/>
      </w:pPr>
      <w:r>
        <w:rPr/>
        <w:t>20.2 Items requiring NREP decision or action</w:t>
      </w:r>
    </w:p>
    <w:tbl>
      <w:tblPr>
        <w:tblW w:w="9360" w:type="dxa"/>
        <w:jc w:val="left"/>
        <w:tblInd w:w="0" w:type="dxa"/>
        <w:tblLayout w:type="fixed"/>
        <w:tblCellMar>
          <w:top w:w="80" w:type="dxa"/>
          <w:left w:w="110" w:type="dxa"/>
          <w:bottom w:w="80" w:type="dxa"/>
          <w:right w:w="110" w:type="dxa"/>
        </w:tblCellMar>
      </w:tblPr>
      <w:tblGrid>
        <w:gridCol w:w="2999"/>
        <w:gridCol w:w="6360"/>
      </w:tblGrid>
      <w:tr>
        <w:trPr>
          <w:tblHeader w:val="true"/>
        </w:trPr>
        <w:tc>
          <w:tcPr>
            <w:tcW w:w="2999" w:type="dxa"/>
            <w:tcBorders>
              <w:top w:val="single" w:sz="4" w:space="0" w:color="C8D6CE"/>
              <w:left w:val="single" w:sz="4" w:space="0" w:color="C8D6CE"/>
              <w:bottom w:val="single" w:sz="2" w:space="0" w:color="C8D6CE"/>
              <w:right w:val="single" w:sz="2" w:space="0" w:color="C8D6CE"/>
            </w:tcBorders>
            <w:shd w:color="auto" w:fill="EDF3EF" w:val="clear"/>
            <w:vAlign w:val="center"/>
          </w:tcPr>
          <w:p>
            <w:pPr>
              <w:pStyle w:val="TableText"/>
              <w:widowControl w:val="false"/>
              <w:spacing w:before="40" w:after="40"/>
              <w:rPr/>
            </w:pPr>
            <w:r>
              <w:rPr>
                <w:b/>
                <w:bCs/>
                <w:color w:val="1B6B45"/>
                <w:sz w:val="19"/>
                <w:szCs w:val="19"/>
              </w:rPr>
              <w:t>Item</w:t>
            </w:r>
          </w:p>
        </w:tc>
        <w:tc>
          <w:tcPr>
            <w:tcW w:w="6360" w:type="dxa"/>
            <w:tcBorders>
              <w:top w:val="single" w:sz="4" w:space="0" w:color="C8D6CE"/>
              <w:left w:val="single" w:sz="2" w:space="0" w:color="C8D6CE"/>
              <w:bottom w:val="single" w:sz="2" w:space="0" w:color="C8D6CE"/>
              <w:right w:val="single" w:sz="4" w:space="0" w:color="C8D6CE"/>
            </w:tcBorders>
            <w:shd w:color="auto" w:fill="EDF3EF" w:val="clear"/>
            <w:vAlign w:val="center"/>
          </w:tcPr>
          <w:p>
            <w:pPr>
              <w:pStyle w:val="TableText"/>
              <w:widowControl w:val="false"/>
              <w:spacing w:before="40" w:after="40"/>
              <w:rPr/>
            </w:pPr>
            <w:r>
              <w:rPr>
                <w:b/>
                <w:bCs/>
                <w:color w:val="1B6B45"/>
                <w:sz w:val="19"/>
                <w:szCs w:val="19"/>
              </w:rPr>
              <w:t>Why it matters</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Replace the demonstration content</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Every project, budget, beneficiary figure and partner record currently held is illustrative. Publishing with this data would misrepresent the sector. SRS Section 10 records this as a launch gate</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Configure an SMTP relay</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Mail is currently written to the application log rather than sent. Address verification, newsletter confirmation, publication notices and rejection notices are all generated correctly but reach nobody</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Configure a task scheduler</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No cron entry runs the framework scheduler, so no recurring task can execute</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Confirm backups and rehearse a restore</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deployment notes record that backups are not configured on the current host</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Rotate the prototype administrator credentials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The demonstration administrator account and password are present in version control history and must be treated as public</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Decide on the unimplemented Section 5 security controls</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Multi-factor authentication, token expiry and soft deletion are specified in the approved SRS but not delivered; each needs either implementation or a recorded waiver</w:t>
            </w:r>
          </w:p>
        </w:tc>
      </w:tr>
      <w:tr>
        <w:trPr/>
        <w:tc>
          <w:tcPr>
            <w:tcW w:w="2999" w:type="dxa"/>
            <w:tcBorders>
              <w:top w:val="single" w:sz="2" w:space="0" w:color="C8D6CE"/>
              <w:left w:val="single" w:sz="4" w:space="0" w:color="C8D6CE"/>
              <w:bottom w:val="single" w:sz="2" w:space="0" w:color="C8D6CE"/>
              <w:right w:val="single" w:sz="2" w:space="0" w:color="C8D6CE"/>
            </w:tcBorders>
            <w:tcMar>
              <w:top w:w="70" w:type="dxa"/>
              <w:bottom w:w="70" w:type="dxa"/>
            </w:tcMar>
          </w:tcPr>
          <w:p>
            <w:pPr>
              <w:pStyle w:val="TableText"/>
              <w:widowControl w:val="false"/>
              <w:spacing w:before="40" w:after="40"/>
              <w:rPr/>
            </w:pPr>
            <w:r>
              <w:rPr>
                <w:sz w:val="19"/>
                <w:szCs w:val="19"/>
              </w:rPr>
              <w:t>Complete the French and Kiswahili translation review</w:t>
            </w:r>
          </w:p>
        </w:tc>
        <w:tc>
          <w:tcPr>
            <w:tcW w:w="6360" w:type="dxa"/>
            <w:tcBorders>
              <w:top w:val="single" w:sz="2" w:space="0" w:color="C8D6CE"/>
              <w:left w:val="single" w:sz="2" w:space="0" w:color="C8D6CE"/>
              <w:bottom w:val="single" w:sz="2" w:space="0" w:color="C8D6CE"/>
              <w:right w:val="single" w:sz="4" w:space="0" w:color="C8D6CE"/>
            </w:tcBorders>
            <w:tcMar>
              <w:top w:w="70" w:type="dxa"/>
              <w:bottom w:w="70" w:type="dxa"/>
            </w:tcMar>
          </w:tcPr>
          <w:p>
            <w:pPr>
              <w:pStyle w:val="TableText"/>
              <w:widowControl w:val="false"/>
              <w:spacing w:before="40" w:after="40"/>
              <w:rPr/>
            </w:pPr>
            <w:r>
              <w:rPr>
                <w:sz w:val="19"/>
                <w:szCs w:val="19"/>
              </w:rPr>
              <w:t>Both catalogues are in place and switchable but have not been reviewed by native speakers with sector vocabulary</w:t>
            </w:r>
          </w:p>
        </w:tc>
      </w:tr>
      <w:tr>
        <w:trPr/>
        <w:tc>
          <w:tcPr>
            <w:tcW w:w="2999" w:type="dxa"/>
            <w:tcBorders>
              <w:top w:val="single" w:sz="2" w:space="0" w:color="C8D6CE"/>
              <w:left w:val="single" w:sz="4" w:space="0" w:color="C8D6CE"/>
              <w:bottom w:val="single" w:sz="4" w:space="0" w:color="C8D6CE"/>
              <w:right w:val="single" w:sz="2" w:space="0" w:color="C8D6CE"/>
            </w:tcBorders>
            <w:tcMar>
              <w:top w:w="70" w:type="dxa"/>
              <w:bottom w:w="70" w:type="dxa"/>
            </w:tcMar>
          </w:tcPr>
          <w:p>
            <w:pPr>
              <w:pStyle w:val="TableText"/>
              <w:widowControl w:val="false"/>
              <w:spacing w:before="40" w:after="40"/>
              <w:rPr/>
            </w:pPr>
            <w:r>
              <w:rPr>
                <w:sz w:val="19"/>
                <w:szCs w:val="19"/>
              </w:rPr>
              <w:t>Publish a privacy notice and set retention periods</w:t>
            </w:r>
          </w:p>
        </w:tc>
        <w:tc>
          <w:tcPr>
            <w:tcW w:w="6360" w:type="dxa"/>
            <w:tcBorders>
              <w:top w:val="single" w:sz="2" w:space="0" w:color="C8D6CE"/>
              <w:left w:val="single" w:sz="2" w:space="0" w:color="C8D6CE"/>
              <w:bottom w:val="single" w:sz="4" w:space="0" w:color="C8D6CE"/>
              <w:right w:val="single" w:sz="4" w:space="0" w:color="C8D6CE"/>
            </w:tcBorders>
            <w:tcMar>
              <w:top w:w="70" w:type="dxa"/>
              <w:bottom w:w="70" w:type="dxa"/>
            </w:tcMar>
          </w:tcPr>
          <w:p>
            <w:pPr>
              <w:pStyle w:val="TableText"/>
              <w:widowControl w:val="false"/>
              <w:spacing w:before="40" w:after="40"/>
              <w:rPr/>
            </w:pPr>
            <w:r>
              <w:rPr>
                <w:sz w:val="19"/>
                <w:szCs w:val="19"/>
              </w:rPr>
              <w:t>Required by Uganda's Data Protection and Privacy Act, and specified in SRS Section 5</w:t>
            </w:r>
          </w:p>
        </w:tc>
      </w:tr>
    </w:tbl>
    <w:p>
      <w:pPr>
        <w:pStyle w:val="Normal"/>
        <w:spacing w:before="0" w:after="200"/>
        <w:rPr/>
      </w:pPr>
      <w:r>
        <w:rPr/>
      </w:r>
    </w:p>
    <w:p>
      <w:pPr>
        <w:pStyle w:val="Heading1"/>
        <w:rPr/>
      </w:pPr>
      <w:r>
        <w:rPr/>
        <w:t>21. Conclusion</w:t>
      </w:r>
    </w:p>
    <w:p>
      <w:pPr>
        <w:pStyle w:val="Normal"/>
        <w:rPr/>
      </w:pPr>
      <w:r>
        <w:rPr/>
        <w:t>The Agri-Energy Desk has been developed to the approved SRS Version 2.0 baseline across its functional scope. Seventy-one of the 78 numbered functional requirements are fully implemented and verifiable in the running system; four are partial, three are outstanding, and one was deliberately changed after the SRS at NREP's direction. Twelve enhancements were delivered beyond the baseline, six of them closing recommendations the SRS itself raised.</w:t>
      </w:r>
    </w:p>
    <w:p>
      <w:pPr>
        <w:pStyle w:val="Normal"/>
        <w:rPr/>
      </w:pPr>
      <w:r>
        <w:rPr/>
        <w:t>The gaps that matter most are not in the functional scope but around it. Two administration screens that the SRS intended to be self-service — site configuration and taxonomy — have working API endpoints but no interface, leaving NREP dependent on a developer for routine changes. Several security controls specified in Section 5 are not implemented. Email cannot be delivered until an SMTP relay is configured, which blocks four otherwise complete features. And the content in the system is demonstration data that must be replaced before launch.</w:t>
      </w:r>
    </w:p>
    <w:p>
      <w:pPr>
        <w:pStyle w:val="Normal"/>
        <w:rPr/>
      </w:pPr>
      <w:r>
        <w:rPr/>
        <w:t>None of these is structural. Each is a defined, bounded piece of work, and Section 20 states what each requires. The platform's foundations — its data model, its authorisation model, its editorial workflow and its reporting pipeline — are sound and extend cleanly to the phase-two components the SRS anticipates.</w:t>
      </w:r>
    </w:p>
    <w:p>
      <w:pPr>
        <w:pStyle w:val="Heading1"/>
        <w:rPr/>
      </w:pPr>
      <w:r>
        <w:rPr/>
        <w:t>22. Source Notes</w:t>
      </w:r>
    </w:p>
    <w:p>
      <w:pPr>
        <w:pStyle w:val="Normal"/>
        <w:rPr/>
      </w:pPr>
      <w:r>
        <w:rPr/>
        <w:t>This report was compiled by direct inspection of the following, on 29 September 2026:</w:t>
      </w:r>
    </w:p>
    <w:p>
      <w:pPr>
        <w:pStyle w:val="ListParagraph"/>
        <w:numPr>
          <w:ilvl w:val="0"/>
          <w:numId w:val="1"/>
        </w:numPr>
        <w:rPr/>
      </w:pPr>
      <w:r>
        <w:rPr/>
        <w:t>Software Requirements Specification Version 2.0 (PDF), the approved requirements baseline.</w:t>
      </w:r>
    </w:p>
    <w:p>
      <w:pPr>
        <w:pStyle w:val="ListParagraph"/>
        <w:numPr>
          <w:ilvl w:val="0"/>
          <w:numId w:val="1"/>
        </w:numPr>
        <w:rPr/>
      </w:pPr>
      <w:r>
        <w:rPr/>
        <w:t>The application source: api/ (Laravel) and UI/ (Next.js), including routes, controllers, policies, models, migrations, schemas and components.</w:t>
      </w:r>
    </w:p>
    <w:p>
      <w:pPr>
        <w:pStyle w:val="ListParagraph"/>
        <w:numPr>
          <w:ilvl w:val="0"/>
          <w:numId w:val="1"/>
        </w:numPr>
        <w:rPr/>
      </w:pPr>
      <w:r>
        <w:rPr/>
        <w:t>The live PostgreSQL schema, queried directly for tables, columns, indexes and extensions.</w:t>
      </w:r>
    </w:p>
    <w:p>
      <w:pPr>
        <w:pStyle w:val="ListParagraph"/>
        <w:numPr>
          <w:ilvl w:val="0"/>
          <w:numId w:val="1"/>
        </w:numPr>
        <w:rPr/>
      </w:pPr>
      <w:r>
        <w:rPr/>
        <w:t>The automated test suite, executed in full.</w:t>
      </w:r>
    </w:p>
    <w:p>
      <w:pPr>
        <w:pStyle w:val="ListParagraph"/>
        <w:numPr>
          <w:ilvl w:val="0"/>
          <w:numId w:val="1"/>
        </w:numPr>
        <w:rPr/>
      </w:pPr>
      <w:r>
        <w:rPr/>
        <w:t>The running application at the development environment, for interface verification.</w:t>
      </w:r>
    </w:p>
    <w:p>
      <w:pPr>
        <w:pStyle w:val="ListParagraph"/>
        <w:numPr>
          <w:ilvl w:val="0"/>
          <w:numId w:val="1"/>
        </w:numPr>
        <w:rPr/>
      </w:pPr>
      <w:r>
        <w:rPr/>
        <w:t>The twelve consultancy deliverable documents in docs/.</w:t>
      </w:r>
    </w:p>
    <w:p>
      <w:pPr>
        <w:pStyle w:val="Normal"/>
        <w:widowControl/>
        <w:bidi w:val="0"/>
        <w:spacing w:lineRule="exact" w:line="276" w:before="0" w:after="120"/>
        <w:jc w:val="left"/>
        <w:rPr/>
      </w:pPr>
      <w:r>
        <w:rPr/>
        <w:t>Figures quoted — 39 tables, 34 migrations, 103 API routes, 147 tests — are counts taken from the system on that date and will change as the platform develops.</w:t>
      </w:r>
    </w:p>
    <w:sectPr>
      <w:headerReference w:type="default" r:id="rId2"/>
      <w:headerReference w:type="first" r:id="rId3"/>
      <w:footerReference w:type="default" r:id="rId4"/>
      <w:footerReference w:type="first" r:id="rId5"/>
      <w:type w:val="nextPage"/>
      <w:pgSz w:w="11906" w:h="16838"/>
      <w:pgMar w:left="1250" w:right="1250" w:gutter="0" w:header="708" w:top="1250" w:footer="708" w:bottom="125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8D6CE"/>
      </w:pBdr>
      <w:tabs>
        <w:tab w:val="clear" w:pos="720"/>
        <w:tab w:val="right" w:pos="9360" w:leader="none"/>
      </w:tabs>
      <w:spacing w:before="0" w:after="120"/>
      <w:rPr/>
    </w:pPr>
    <w:r>
      <w:rPr>
        <w:color w:val="5A5A5A"/>
        <w:sz w:val="16"/>
        <w:szCs w:val="16"/>
      </w:rPr>
      <w:t>AED-01  ·  Version 1.0  ·  Prepared for NREP</w:t>
      <w:tab/>
      <w:t xml:space="preserve">Page </w:t>
    </w:r>
    <w:r>
      <w:rPr/>
      <w:fldChar w:fldCharType="begin"/>
    </w:r>
    <w:r>
      <w:rPr/>
      <w:instrText xml:space="preserve"> PAGE </w:instrText>
    </w:r>
    <w:r>
      <w:rPr/>
      <w:fldChar w:fldCharType="separate"/>
    </w:r>
    <w:r>
      <w:rPr/>
      <w:t>23</w:t>
    </w:r>
    <w:r>
      <w:rPr/>
      <w:fldChar w:fldCharType="end"/>
    </w:r>
    <w:r>
      <w:rPr>
        <w:color w:val="5A5A5A"/>
        <w:sz w:val="16"/>
        <w:szCs w:val="16"/>
      </w:rPr>
      <w:t xml:space="preserve"> of </w:t>
    </w:r>
    <w:r>
      <w:rPr/>
      <w:fldChar w:fldCharType="begin"/>
    </w:r>
    <w:r>
      <w:rPr/>
      <w:instrText xml:space="preserve"> NUMPAGES </w:instrText>
    </w:r>
    <w:r>
      <w:rPr/>
      <w:fldChar w:fldCharType="separate"/>
    </w:r>
    <w:r>
      <w:rPr/>
      <w:t>23</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C8D6CE"/>
      </w:pBdr>
      <w:tabs>
        <w:tab w:val="clear" w:pos="720"/>
        <w:tab w:val="right" w:pos="9360" w:leader="none"/>
      </w:tabs>
      <w:spacing w:before="0" w:after="0"/>
      <w:rPr/>
    </w:pPr>
    <w:r>
      <w:rPr>
        <w:color w:val="5A5A5A"/>
        <w:sz w:val="17"/>
        <w:szCs w:val="17"/>
      </w:rPr>
      <w:t>Agri-Energy Desk Digital Platform</w:t>
    </w:r>
    <w:r>
      <w:rPr>
        <w:b/>
        <w:bCs/>
        <w:color w:val="1B6B45"/>
        <w:sz w:val="17"/>
        <w:szCs w:val="17"/>
      </w:rPr>
      <w:tab/>
      <w:t>Enhanced Platform Development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exact" w:line="276" w:before="0" w:after="12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40"/>
      </w:pPr>
      <w:rPr>
        <w:rFonts w:ascii="Symbol" w:hAnsi="Symbol" w:cs="Symbol" w:hint="default"/>
      </w:rPr>
    </w:lvl>
    <w:lvl w:ilvl="1">
      <w:start w:val="1"/>
      <w:numFmt w:val="bullet"/>
      <w:lvlText w:val=""/>
      <w:lvlJc w:val="left"/>
      <w:pPr>
        <w:tabs>
          <w:tab w:val="num" w:pos="0"/>
        </w:tabs>
        <w:ind w:left="900" w:hanging="24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120"/>
      <w:jc w:val="left"/>
    </w:pPr>
    <w:rPr>
      <w:rFonts w:ascii="Calibri" w:hAnsi="Calibri" w:eastAsia="Calibri" w:cs="Calibri"/>
      <w:color w:val="1A1A1A"/>
      <w:kern w:val="0"/>
      <w:sz w:val="21"/>
      <w:szCs w:val="21"/>
      <w:lang w:val="en-US" w:eastAsia="zh-CN" w:bidi="hi-IN"/>
    </w:rPr>
  </w:style>
  <w:style w:type="paragraph" w:styleId="Heading1">
    <w:name w:val="Heading 1"/>
    <w:basedOn w:val="Normal"/>
    <w:next w:val="Normal"/>
    <w:qFormat/>
    <w:pPr>
      <w:pBdr>
        <w:bottom w:val="single" w:sz="6" w:space="6" w:color="C8D6CE"/>
      </w:pBdr>
      <w:spacing w:before="360" w:after="160"/>
      <w:outlineLvl w:val="0"/>
    </w:pPr>
    <w:rPr>
      <w:rFonts w:ascii="Calibri" w:hAnsi="Calibri" w:eastAsia="Calibri" w:cs="Calibri"/>
      <w:b/>
      <w:bCs/>
      <w:color w:val="1B6B45"/>
      <w:sz w:val="30"/>
      <w:szCs w:val="30"/>
    </w:rPr>
  </w:style>
  <w:style w:type="paragraph" w:styleId="Heading2">
    <w:name w:val="Heading 2"/>
    <w:basedOn w:val="Normal"/>
    <w:next w:val="Normal"/>
    <w:qFormat/>
    <w:pPr>
      <w:spacing w:before="280" w:after="120"/>
      <w:outlineLvl w:val="1"/>
    </w:pPr>
    <w:rPr>
      <w:rFonts w:ascii="Calibri" w:hAnsi="Calibri" w:eastAsia="Calibri" w:cs="Calibri"/>
      <w:b/>
      <w:bCs/>
      <w:color w:val="1A1A1A"/>
      <w:sz w:val="25"/>
      <w:szCs w:val="25"/>
    </w:rPr>
  </w:style>
  <w:style w:type="paragraph" w:styleId="Heading3">
    <w:name w:val="Heading 3"/>
    <w:basedOn w:val="Normal"/>
    <w:next w:val="Normal"/>
    <w:qFormat/>
    <w:pPr>
      <w:spacing w:before="220" w:after="100"/>
      <w:outlineLvl w:val="2"/>
    </w:pPr>
    <w:rPr>
      <w:rFonts w:ascii="Calibri" w:hAnsi="Calibri" w:eastAsia="Calibri" w:cs="Calibri"/>
      <w:b/>
      <w:bCs/>
      <w:color w:val="1B6B45"/>
      <w:sz w:val="22"/>
      <w:szCs w:val="22"/>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next w:val="Normal"/>
    <w:qFormat/>
    <w:pPr>
      <w:spacing w:before="60" w:after="240"/>
      <w:jc w:val="center"/>
    </w:pPr>
    <w:rPr>
      <w:rFonts w:ascii="Calibri" w:hAnsi="Calibri" w:eastAsia="Calibri" w:cs="Calibri"/>
      <w:i/>
      <w:iCs/>
      <w:color w:val="5A5A5A"/>
      <w:sz w:val="18"/>
      <w:szCs w:val="18"/>
    </w:rPr>
  </w:style>
  <w:style w:type="paragraph" w:styleId="Index">
    <w:name w:val="Index"/>
    <w:basedOn w:val="Normal"/>
    <w:qFormat/>
    <w:pPr>
      <w:suppressLineNumbers/>
    </w:pPr>
    <w:rPr>
      <w:rFonts w:cs="Lohit Devanagari"/>
    </w:rPr>
  </w:style>
  <w:style w:type="paragraph" w:styleId="Strong">
    <w:name w:val="Strong"/>
    <w:basedOn w:val="Normal"/>
    <w:next w:val="Normal"/>
    <w:qFormat/>
    <w:pPr/>
    <w:rPr>
      <w:b/>
      <w:bCs/>
    </w:rPr>
  </w:style>
  <w:style w:type="paragraph" w:styleId="ListParagraph">
    <w:name w:val="List Paragraph"/>
    <w:basedOn w:val="Normal"/>
    <w:qFormat/>
    <w:pPr/>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Title">
    <w:name w:val="Title"/>
    <w:basedOn w:val="Normal"/>
    <w:next w:val="Normal"/>
    <w:qFormat/>
    <w:pPr>
      <w:spacing w:lineRule="exact" w:line="640" w:before="0" w:after="160"/>
    </w:pPr>
    <w:rPr>
      <w:rFonts w:ascii="Calibri" w:hAnsi="Calibri" w:eastAsia="Calibri" w:cs="Calibri"/>
      <w:b/>
      <w:bCs/>
      <w:color w:val="1B6B45"/>
      <w:sz w:val="56"/>
      <w:szCs w:val="56"/>
    </w:rPr>
  </w:style>
  <w:style w:type="paragraph" w:styleId="Subtitle">
    <w:name w:val="Subtitle"/>
    <w:basedOn w:val="Normal"/>
    <w:next w:val="Normal"/>
    <w:qFormat/>
    <w:pPr>
      <w:spacing w:before="0" w:after="400"/>
    </w:pPr>
    <w:rPr>
      <w:rFonts w:ascii="Calibri" w:hAnsi="Calibri" w:eastAsia="Calibri" w:cs="Calibri"/>
      <w:color w:val="5A5A5A"/>
      <w:sz w:val="26"/>
      <w:szCs w:val="26"/>
    </w:rPr>
  </w:style>
  <w:style w:type="paragraph" w:styleId="TableText">
    <w:name w:val="Table Text"/>
    <w:basedOn w:val="Normal"/>
    <w:next w:val="Normal"/>
    <w:qFormat/>
    <w:pPr>
      <w:spacing w:lineRule="exact" w:line="240" w:before="40" w:after="40"/>
    </w:pPr>
    <w:rPr>
      <w:rFonts w:ascii="Calibri" w:hAnsi="Calibri" w:eastAsia="Calibri" w:cs="Calibri"/>
      <w:sz w:val="19"/>
      <w:szCs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23</Pages>
  <Words>6047</Words>
  <Characters>38000</Characters>
  <CharactersWithSpaces>43210</CharactersWithSpaces>
  <Paragraphs>847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2026-09-29T11:35:59Z</dcterms:created>
  <dc:creator>Agri-Energy Desk Consultancy</dc:creator>
  <dc:description>Enhancement of the Agri-Energy Desk Platform to Incorporate the Recommendations of the Final Approved Software Requirements Specification</dc:description>
  <dc:language>en-US</dc:language>
  <cp:lastModifiedBy/>
  <dcterms:modified xsi:type="dcterms:W3CDTF">2026-09-29T14:41:42Z</dcterms:modified>
  <cp:revision>2</cp:revision>
  <dc:subject/>
  <dc:title>Enhanced Platform Development Report</dc:title>
</cp:coreProperties>
</file>