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bCs/>
          <w:color w:val="1B6B45"/>
          <w:spacing w:val="40"/>
          <w:sz w:val="20"/>
          <w:szCs w:val="20"/>
        </w:rPr>
        <w:t>NATIONAL RENEWABLE ENERGY PLATFORM</w:t>
      </w:r>
    </w:p>
    <w:p>
      <w:pPr>
        <w:pStyle w:val="Normal"/>
        <w:pBdr>
          <w:bottom w:val="single" w:sz="12" w:space="10" w:color="1B6B45"/>
        </w:pBdr>
        <w:spacing w:before="0" w:after="320"/>
        <w:rPr/>
      </w:pPr>
      <w:r>
        <w:rPr>
          <w:color w:val="5A5A5A"/>
          <w:sz w:val="24"/>
          <w:szCs w:val="24"/>
        </w:rPr>
        <w:t>Agri-Energy Desk Digital Platform</w:t>
      </w:r>
    </w:p>
    <w:p>
      <w:pPr>
        <w:pStyle w:val="Title"/>
        <w:rPr/>
      </w:pPr>
      <w:r>
        <w:rPr/>
        <w:t>Agri-Energy Desk Data Architecture</w:t>
      </w:r>
    </w:p>
    <w:p>
      <w:pPr>
        <w:pStyle w:val="Subtitle"/>
        <w:rPr/>
      </w:pPr>
      <w:r>
        <w:rPr/>
        <w:t>The implemented data architecture of the Agri-Energy Desk Digital Platform, verified against the running system</w:t>
      </w:r>
    </w:p>
    <w:tbl>
      <w:tblPr>
        <w:tblW w:w="9360" w:type="dxa"/>
        <w:jc w:val="left"/>
        <w:tblInd w:w="0" w:type="dxa"/>
        <w:tblLayout w:type="fixed"/>
        <w:tblCellMar>
          <w:top w:w="80" w:type="dxa"/>
          <w:left w:w="110" w:type="dxa"/>
          <w:bottom w:w="80" w:type="dxa"/>
          <w:right w:w="110" w:type="dxa"/>
        </w:tblCellMar>
      </w:tblPr>
      <w:tblGrid>
        <w:gridCol w:w="2899"/>
        <w:gridCol w:w="6460"/>
      </w:tblGrid>
      <w:tr>
        <w:trPr>
          <w:tblHeader w:val="true"/>
        </w:trPr>
        <w:tc>
          <w:tcPr>
            <w:tcW w:w="28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Field</w:t>
            </w:r>
          </w:p>
        </w:tc>
        <w:tc>
          <w:tcPr>
            <w:tcW w:w="64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Detail</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Document</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Agri-Energy Desk Data Architecture</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Document number</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AED-02</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Version</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1.0</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Date</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29 September 2026</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Status</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For submission to NREP</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Platform</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Agri-Energy Desk Digital Platform</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Prepared for</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National Renewable Energy Platform (NREP)</w:t>
            </w:r>
          </w:p>
        </w:tc>
      </w:tr>
      <w:tr>
        <w:trPr/>
        <w:tc>
          <w:tcPr>
            <w:tcW w:w="28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Requirements baseline</w:t>
            </w:r>
          </w:p>
        </w:tc>
        <w:tc>
          <w:tcPr>
            <w:tcW w:w="64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Software Requirements Specification (SRS) Version 2.0</w:t>
            </w:r>
          </w:p>
        </w:tc>
      </w:tr>
    </w:tbl>
    <w:p>
      <w:pPr>
        <w:pStyle w:val="Normal"/>
        <w:rPr/>
      </w:pPr>
      <w:r>
        <w:rPr/>
      </w:r>
      <w:r>
        <w:br w:type="page"/>
      </w:r>
    </w:p>
    <w:p>
      <w:pPr>
        <w:pStyle w:val="Heading1"/>
        <w:rPr/>
      </w:pPr>
      <w:r>
        <w:rPr/>
        <w:t>Table of Contents</w:t>
      </w:r>
    </w:p>
    <w:p>
      <w:pPr>
        <w:pStyle w:val="Normal"/>
        <w:rPr/>
      </w:pPr>
      <w:r>
        <w:rPr>
          <w:i/>
          <w:iCs/>
          <w:color w:val="5A5A5A"/>
        </w:rPr>
        <w:t>This table of contents is a field. In Microsoft Word, press Ctrl+A then F9 (or right-click and choose "Update Field") to populate or refresh it.</w:t>
      </w:r>
    </w:p>
    <w:p>
      <w:pPr>
        <w:pStyle w:val="Normal"/>
        <w:rPr/>
      </w:pPr>
      <w:r>
        <w:fldChar w:fldCharType="begin"/>
      </w:r>
      <w:r>
        <w:rPr/>
      </w:r>
      <w:r>
        <w:rPr/>
      </w:r>
      <w:r>
        <w:rPr/>
        <w:fldChar w:fldCharType="separate"/>
      </w:r>
      <w:r>
        <w:rPr/>
      </w:r>
      <w:sdt>
        <w:sdtPr>
          <w:alias w:val="Contents"/>
        </w:sdtPr>
        <w:sdtContent>
          <w:r>
            <w:rPr/>
            <w:t>TOC \h \o "1-3"</w:t>
          </w:r>
        </w:sdtContent>
      </w:sdt>
    </w:p>
    <w:p>
      <w:pPr>
        <w:pStyle w:val="Normal"/>
        <w:rPr/>
      </w:pPr>
      <w:r>
        <w:rPr/>
      </w:r>
      <w:r>
        <w:rPr/>
        <w:fldChar w:fldCharType="end"/>
      </w:r>
    </w:p>
    <w:p>
      <w:pPr>
        <w:pStyle w:val="Normal"/>
        <w:rPr/>
      </w:pPr>
      <w:r>
        <w:rPr/>
      </w:r>
      <w:r>
        <w:br w:type="page"/>
      </w:r>
    </w:p>
    <w:p>
      <w:pPr>
        <w:pStyle w:val="Heading1"/>
        <w:rPr/>
      </w:pPr>
      <w:r>
        <w:rPr/>
        <w:t>1. Executive Summary</w:t>
      </w:r>
    </w:p>
    <w:p>
      <w:pPr>
        <w:pStyle w:val="Normal"/>
        <w:rPr/>
      </w:pPr>
      <w:r>
        <w:rPr/>
        <w:t>This report documents the data architecture of the Agri-Energy Desk Digital Platform as actually implemented, rather than as a generic reference design. Every table, column, key, constraint and count stated here was read from the running PostgreSQL database and the migration set on 29 September 2026.</w:t>
      </w:r>
    </w:p>
    <w:p>
      <w:pPr>
        <w:pStyle w:val="Normal"/>
        <w:rPr/>
      </w:pPr>
      <w:r>
        <w:rPr/>
        <w:t>The platform holds its data in a single PostgreSQL database of 39 tables, created by 34 migrations. Nine of those tables are publishable content entities sharing a common editorial column set; eight are many-to-many association tables; the remainder support authentication, authorisation, auditing, queuing, revisions and framework infrastructure. Thirty-two foreign keys are declared, all resolving either to CASCADE on association tables or to SET NULL on authorship links.</w:t>
      </w:r>
    </w:p>
    <w:p>
      <w:pPr>
        <w:pStyle w:val="Normal"/>
        <w:rPr/>
      </w:pPr>
      <w:r>
        <w:rPr/>
        <w:t>Three characteristics of the implementation are worth stating plainly at the outset, because they differ from what a reader of SRS Section 6.1 would expect. First, there is no soft deletion anywhere: no model uses a soft-delete trait and no table carries a deleted_at column, so a delete is permanent. Second, controlled vocabularies are stored on content records as free text rather than as foreign keys, so the ON DELETE RESTRICT protection the SRS specifies has nothing to attach to. Third, the platform records no audience or usage data at all; the audit trail captures editorial actions only. Each is examined in Section 20.</w:t>
      </w:r>
    </w:p>
    <w:p>
      <w:pPr>
        <w:pStyle w:val="Normal"/>
        <w:rPr/>
      </w:pPr>
      <w:r>
        <w:rPr/>
        <w:t>The architecture is otherwise sound for its purpose and scale. It is normalised where normalisation helps, denormalised deliberately where it protects the audit record, and indexed on the columns the application actually filters by.</w:t>
      </w:r>
    </w:p>
    <w:p>
      <w:pPr>
        <w:pStyle w:val="Heading1"/>
        <w:rPr/>
      </w:pPr>
      <w:r>
        <w:rPr/>
        <w:t>2. Data Architecture Objectives</w:t>
      </w:r>
    </w:p>
    <w:p>
      <w:pPr>
        <w:pStyle w:val="ListParagraph"/>
        <w:numPr>
          <w:ilvl w:val="0"/>
          <w:numId w:val="3"/>
        </w:numPr>
        <w:rPr/>
      </w:pPr>
      <w:r>
        <w:rPr/>
        <w:t>Hold one authoritative record of each project, technology, theme, partner, resource, event, opportunity, policy and news item in Uganda's agri-energy sector.</w:t>
      </w:r>
    </w:p>
    <w:p>
      <w:pPr>
        <w:pStyle w:val="ListParagraph"/>
        <w:numPr>
          <w:ilvl w:val="0"/>
          <w:numId w:val="1"/>
        </w:numPr>
        <w:rPr/>
      </w:pPr>
      <w:r>
        <w:rPr/>
        <w:t>Allow any content record to reference any other without duplicating it, so that a project, a technology and a theme each describe the same reality once.</w:t>
      </w:r>
    </w:p>
    <w:p>
      <w:pPr>
        <w:pStyle w:val="ListParagraph"/>
        <w:numPr>
          <w:ilvl w:val="0"/>
          <w:numId w:val="1"/>
        </w:numPr>
        <w:rPr/>
      </w:pPr>
      <w:r>
        <w:rPr/>
        <w:t>Carry editorial state on every content record so that draft, review and published versions are distinguishable at the data layer rather than by convention.</w:t>
      </w:r>
    </w:p>
    <w:p>
      <w:pPr>
        <w:pStyle w:val="ListParagraph"/>
        <w:numPr>
          <w:ilvl w:val="0"/>
          <w:numId w:val="1"/>
        </w:numPr>
        <w:rPr/>
      </w:pPr>
      <w:r>
        <w:rPr/>
        <w:t>Preserve an immutable record of who created, changed, approved or published anything.</w:t>
      </w:r>
    </w:p>
    <w:p>
      <w:pPr>
        <w:pStyle w:val="ListParagraph"/>
        <w:numPr>
          <w:ilvl w:val="0"/>
          <w:numId w:val="1"/>
        </w:numPr>
        <w:rPr/>
      </w:pPr>
      <w:r>
        <w:rPr/>
        <w:t>Expose the published subset as machine-readable open data without a second store or an export pipeline.</w:t>
      </w:r>
    </w:p>
    <w:p>
      <w:pPr>
        <w:pStyle w:val="ListParagraph"/>
        <w:numPr>
          <w:ilvl w:val="0"/>
          <w:numId w:val="1"/>
        </w:numPr>
        <w:rPr/>
      </w:pPr>
      <w:r>
        <w:rPr/>
        <w:t>Support geographic description at region, district and coordinate level without binding the schema to Uganda's current administrative divisions.</w:t>
      </w:r>
    </w:p>
    <w:p>
      <w:pPr>
        <w:pStyle w:val="Heading1"/>
        <w:rPr/>
      </w:pPr>
      <w:r>
        <w:rPr/>
        <w:t>3. Architecture Overview</w:t>
      </w:r>
    </w:p>
    <w:p>
      <w:pPr>
        <w:pStyle w:val="Normal"/>
        <w:rPr/>
      </w:pPr>
      <w:r>
        <w:rPr/>
        <w:t>The platform is a two-tier application. All data lives in one PostgreSQL database owned exclusively by the Laravel API; no other process reads or writes it. The Next.js front end holds no database connection and no server-side data store of its own — it consumes the versioned REST API and nothing else.</w:t>
      </w:r>
    </w:p>
    <w:tbl>
      <w:tblPr>
        <w:tblW w:w="9360" w:type="dxa"/>
        <w:jc w:val="left"/>
        <w:tblInd w:w="0" w:type="dxa"/>
        <w:tblLayout w:type="fixed"/>
        <w:tblCellMar>
          <w:top w:w="80" w:type="dxa"/>
          <w:left w:w="110" w:type="dxa"/>
          <w:bottom w:w="80" w:type="dxa"/>
          <w:right w:w="110" w:type="dxa"/>
        </w:tblCellMar>
      </w:tblPr>
      <w:tblGrid>
        <w:gridCol w:w="1799"/>
        <w:gridCol w:w="2101"/>
        <w:gridCol w:w="5460"/>
      </w:tblGrid>
      <w:tr>
        <w:trPr>
          <w:tblHeader w:val="true"/>
        </w:trPr>
        <w:tc>
          <w:tcPr>
            <w:tcW w:w="17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Layer</w:t>
            </w:r>
          </w:p>
        </w:tc>
        <w:tc>
          <w:tcPr>
            <w:tcW w:w="2101"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Component</w:t>
            </w:r>
          </w:p>
        </w:tc>
        <w:tc>
          <w:tcPr>
            <w:tcW w:w="54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Data responsibility</w:t>
            </w:r>
          </w:p>
        </w:tc>
      </w:tr>
      <w:tr>
        <w:trPr/>
        <w:tc>
          <w:tcPr>
            <w:tcW w:w="17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Presentation</w:t>
            </w:r>
          </w:p>
        </w:tc>
        <w:tc>
          <w:tcPr>
            <w:tcW w:w="21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Next.js 16 / React 19</w:t>
            </w:r>
          </w:p>
        </w:tc>
        <w:tc>
          <w:tcPr>
            <w:tcW w:w="5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Holds no persistent data. Fetches from /api/v1 at request time in the browser. Stores only per-viewer interface preferences such as theme and language, in cookies and browser storage</w:t>
            </w:r>
          </w:p>
        </w:tc>
      </w:tr>
      <w:tr>
        <w:trPr/>
        <w:tc>
          <w:tcPr>
            <w:tcW w:w="17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Application</w:t>
            </w:r>
          </w:p>
        </w:tc>
        <w:tc>
          <w:tcPr>
            <w:tcW w:w="21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Laravel 11 / PHP 8.2</w:t>
            </w:r>
          </w:p>
        </w:tc>
        <w:tc>
          <w:tcPr>
            <w:tcW w:w="5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Sole owner of the schema. Enforces validation, authorisation, editorial workflow, sanitisation and audit writing. All reads and writes pass through Eloquent models and controllers</w:t>
            </w:r>
          </w:p>
        </w:tc>
      </w:tr>
      <w:tr>
        <w:trPr/>
        <w:tc>
          <w:tcPr>
            <w:tcW w:w="17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Persistence</w:t>
            </w:r>
          </w:p>
        </w:tc>
        <w:tc>
          <w:tcPr>
            <w:tcW w:w="21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PostgreSQL</w:t>
            </w:r>
          </w:p>
        </w:tc>
        <w:tc>
          <w:tcPr>
            <w:tcW w:w="5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39 tables. Relational content, jsonb for repeating attributes, full-text search vectors computed per query</w:t>
            </w:r>
          </w:p>
        </w:tc>
      </w:tr>
      <w:tr>
        <w:trPr/>
        <w:tc>
          <w:tcPr>
            <w:tcW w:w="17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File storage</w:t>
            </w:r>
          </w:p>
        </w:tc>
        <w:tc>
          <w:tcPr>
            <w:tcW w:w="2101"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Local filesystem, two disks</w:t>
            </w:r>
          </w:p>
        </w:tc>
        <w:tc>
          <w:tcPr>
            <w:tcW w:w="54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Public disk for openly downloadable media; a private disk outside the web root for view-only resource files</w:t>
            </w:r>
          </w:p>
        </w:tc>
      </w:tr>
    </w:tbl>
    <w:p>
      <w:pPr>
        <w:pStyle w:val="Normal"/>
        <w:spacing w:before="0" w:after="200"/>
        <w:rPr/>
      </w:pPr>
      <w:r>
        <w:rPr/>
      </w:r>
    </w:p>
    <w:p>
      <w:pPr>
        <w:pStyle w:val="Normal"/>
        <w:rPr/>
      </w:pPr>
      <w:r>
        <w:rPr/>
        <w:t>There is no cache store, no search server, no message broker and no object storage in the current deployment. Queued work uses a database-backed queue. This is a deliberate simplicity appropriate to present volumes; Section 19 sets out where it will need to change.</w:t>
      </w:r>
    </w:p>
    <w:p>
      <w:pPr>
        <w:pStyle w:val="Heading1"/>
        <w:rPr/>
      </w:pPr>
      <w:r>
        <w:rPr/>
        <w:t>4. Data Sources</w:t>
      </w:r>
    </w:p>
    <w:p>
      <w:pPr>
        <w:pStyle w:val="Normal"/>
        <w:rPr/>
      </w:pPr>
      <w:r>
        <w:rPr/>
        <w:t>The platform has four sources of data, in descending order of volume.</w:t>
      </w:r>
    </w:p>
    <w:tbl>
      <w:tblPr>
        <w:tblW w:w="9360" w:type="dxa"/>
        <w:jc w:val="left"/>
        <w:tblInd w:w="0" w:type="dxa"/>
        <w:tblLayout w:type="fixed"/>
        <w:tblCellMar>
          <w:top w:w="80" w:type="dxa"/>
          <w:left w:w="110" w:type="dxa"/>
          <w:bottom w:w="80" w:type="dxa"/>
          <w:right w:w="110" w:type="dxa"/>
        </w:tblCellMar>
      </w:tblPr>
      <w:tblGrid>
        <w:gridCol w:w="2399"/>
        <w:gridCol w:w="3480"/>
        <w:gridCol w:w="3481"/>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Source</w:t>
            </w:r>
          </w:p>
        </w:tc>
        <w:tc>
          <w:tcPr>
            <w:tcW w:w="348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Route into the system</w:t>
            </w:r>
          </w:p>
        </w:tc>
        <w:tc>
          <w:tcPr>
            <w:tcW w:w="348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Governance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NREP staff authoring</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Administration portal forms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Content managers may publish directly; contributors submit for review</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self-service</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portal submission forms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Forced to pending and unpublished on write regardless of the payload; passes organisation sign-off then NREP review</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Public submission</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Public contact and submission form</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Stored in the submissions table as an enquiry; never becomes content automatically</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Reference data</w:t>
            </w:r>
          </w:p>
        </w:tc>
        <w:tc>
          <w:tcPr>
            <w:tcW w:w="348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Migrations and seeders</w:t>
            </w:r>
          </w:p>
        </w:tc>
        <w:tc>
          <w:tcPr>
            <w:tcW w:w="348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Taxonomy vocabularies, roles and permissions, and the national geographic reference</w:t>
            </w:r>
          </w:p>
        </w:tc>
      </w:tr>
    </w:tbl>
    <w:p>
      <w:pPr>
        <w:pStyle w:val="Normal"/>
        <w:spacing w:before="0" w:after="200"/>
        <w:rPr/>
      </w:pPr>
      <w:r>
        <w:rPr/>
      </w:r>
    </w:p>
    <w:p>
      <w:pPr>
        <w:pStyle w:val="Normal"/>
        <w:rPr/>
      </w:pPr>
      <w:r>
        <w:rPr/>
        <w:t>Geographic reference data for regions and districts is not held in the database. It is served to the interface from packaged GeoJSON boundary files derived from the geoBoundaries dataset, and only the resulting selections — region name, district name, latitude and longitude — are stored on the record.</w:t>
      </w:r>
    </w:p>
    <w:p>
      <w:pPr>
        <w:pStyle w:val="Normal"/>
        <w:rPr/>
      </w:pPr>
      <w:r>
        <w:rPr>
          <w:b/>
          <w:bCs/>
        </w:rPr>
        <w:t xml:space="preserve">All content presently in the database is demonstration data. </w:t>
      </w:r>
      <w:r>
        <w:rPr/>
        <w:t>Project budgets, beneficiary counts and partner records are illustrative and were created to exercise the system. They must be replaced with NREP-validated records before public launch, as SRS Section 10 records.</w:t>
      </w:r>
    </w:p>
    <w:p>
      <w:pPr>
        <w:pStyle w:val="Heading1"/>
        <w:rPr/>
      </w:pPr>
      <w:r>
        <w:rPr/>
        <w:t>5. Data Domains</w:t>
      </w:r>
    </w:p>
    <w:tbl>
      <w:tblPr>
        <w:tblW w:w="9360" w:type="dxa"/>
        <w:jc w:val="left"/>
        <w:tblInd w:w="0" w:type="dxa"/>
        <w:tblLayout w:type="fixed"/>
        <w:tblCellMar>
          <w:top w:w="80" w:type="dxa"/>
          <w:left w:w="110" w:type="dxa"/>
          <w:bottom w:w="80" w:type="dxa"/>
          <w:right w:w="110" w:type="dxa"/>
        </w:tblCellMar>
      </w:tblPr>
      <w:tblGrid>
        <w:gridCol w:w="1900"/>
        <w:gridCol w:w="3399"/>
        <w:gridCol w:w="4061"/>
      </w:tblGrid>
      <w:tr>
        <w:trPr>
          <w:tblHeader w:val="true"/>
        </w:trPr>
        <w:tc>
          <w:tcPr>
            <w:tcW w:w="19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Domain</w:t>
            </w:r>
          </w:p>
        </w:tc>
        <w:tc>
          <w:tcPr>
            <w:tcW w:w="3399"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Tables</w:t>
            </w:r>
          </w:p>
        </w:tc>
        <w:tc>
          <w:tcPr>
            <w:tcW w:w="406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Purpose</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Content</w:t>
            </w:r>
          </w:p>
        </w:tc>
        <w:tc>
          <w:tcPr>
            <w:tcW w:w="33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projects, technologies, themes, partners, resources, events, opportunities, policies, posts</w:t>
            </w:r>
          </w:p>
        </w:tc>
        <w:tc>
          <w:tcPr>
            <w:tcW w:w="40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 nine publishable entities that constitute the knowledge platform</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Association</w:t>
            </w:r>
          </w:p>
        </w:tc>
        <w:tc>
          <w:tcPr>
            <w:tcW w:w="33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project_technology, project_theme, partner_project, partner_technology, partner_theme, resource_technology, resource_theme, technology_theme</w:t>
            </w:r>
          </w:p>
        </w:tc>
        <w:tc>
          <w:tcPr>
            <w:tcW w:w="40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Many-to-many relationships between content entities</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Identity and access</w:t>
            </w:r>
          </w:p>
        </w:tc>
        <w:tc>
          <w:tcPr>
            <w:tcW w:w="33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users, roles, permissions, model_has_roles, model_has_permissions, role_has_permissions, personal_access_tokens, password_reset_tokens, sessions</w:t>
            </w:r>
          </w:p>
        </w:tc>
        <w:tc>
          <w:tcPr>
            <w:tcW w:w="40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Accounts, role assignment and token authentication</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Editorial</w:t>
            </w:r>
          </w:p>
        </w:tc>
        <w:tc>
          <w:tcPr>
            <w:tcW w:w="33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content_revisions</w:t>
            </w:r>
          </w:p>
        </w:tc>
        <w:tc>
          <w:tcPr>
            <w:tcW w:w="40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Pending edits to already published records</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Engagement</w:t>
            </w:r>
          </w:p>
        </w:tc>
        <w:tc>
          <w:tcPr>
            <w:tcW w:w="33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submissions, subscribers, notifications</w:t>
            </w:r>
          </w:p>
        </w:tc>
        <w:tc>
          <w:tcPr>
            <w:tcW w:w="40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Public enquiries, newsletter list, in-platform notifications</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Reference</w:t>
            </w:r>
          </w:p>
        </w:tc>
        <w:tc>
          <w:tcPr>
            <w:tcW w:w="33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taxonomy_items, site_config</w:t>
            </w:r>
          </w:p>
        </w:tc>
        <w:tc>
          <w:tcPr>
            <w:tcW w:w="40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Controlled vocabularies and singleton site configuration</w:t>
            </w:r>
          </w:p>
        </w:tc>
      </w:tr>
      <w:tr>
        <w:trPr/>
        <w:tc>
          <w:tcPr>
            <w:tcW w:w="19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Audit and operations</w:t>
            </w:r>
          </w:p>
        </w:tc>
        <w:tc>
          <w:tcPr>
            <w:tcW w:w="3399"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activity_log, jobs, job_batches, failed_jobs, cache, cache_locks, migrations</w:t>
            </w:r>
          </w:p>
        </w:tc>
        <w:tc>
          <w:tcPr>
            <w:tcW w:w="406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Immutable activity record, queue and framework infrastructure</w:t>
            </w:r>
          </w:p>
        </w:tc>
      </w:tr>
    </w:tbl>
    <w:p>
      <w:pPr>
        <w:pStyle w:val="Normal"/>
        <w:spacing w:before="0" w:after="200"/>
        <w:rPr/>
      </w:pPr>
      <w:r>
        <w:rPr/>
      </w:r>
    </w:p>
    <w:p>
      <w:pPr>
        <w:pStyle w:val="Heading1"/>
        <w:rPr/>
      </w:pPr>
      <w:r>
        <w:rPr/>
        <w:t>6. Core Entities</w:t>
      </w:r>
    </w:p>
    <w:p>
      <w:pPr>
        <w:pStyle w:val="Normal"/>
        <w:rPr/>
      </w:pPr>
      <w:r>
        <w:rPr/>
        <w:t>Every publishable entity carries the same editorial column set, which is what makes one review queue, one audit treatment and one policy class able to serve all nine.</w:t>
      </w:r>
    </w:p>
    <w:tbl>
      <w:tblPr>
        <w:tblW w:w="9360" w:type="dxa"/>
        <w:jc w:val="left"/>
        <w:tblInd w:w="0" w:type="dxa"/>
        <w:tblLayout w:type="fixed"/>
        <w:tblCellMar>
          <w:top w:w="80" w:type="dxa"/>
          <w:left w:w="110" w:type="dxa"/>
          <w:bottom w:w="80" w:type="dxa"/>
          <w:right w:w="110" w:type="dxa"/>
        </w:tblCellMar>
      </w:tblPr>
      <w:tblGrid>
        <w:gridCol w:w="2100"/>
        <w:gridCol w:w="1700"/>
        <w:gridCol w:w="5560"/>
      </w:tblGrid>
      <w:tr>
        <w:trPr>
          <w:tblHeader w:val="true"/>
        </w:trPr>
        <w:tc>
          <w:tcPr>
            <w:tcW w:w="21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Shared column</w:t>
            </w:r>
          </w:p>
        </w:tc>
        <w:tc>
          <w:tcPr>
            <w:tcW w:w="170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Type</w:t>
            </w:r>
          </w:p>
        </w:tc>
        <w:tc>
          <w:tcPr>
            <w:tcW w:w="55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Purpose</w:t>
            </w:r>
          </w:p>
        </w:tc>
      </w:tr>
      <w:tr>
        <w:trPr/>
        <w:tc>
          <w:tcPr>
            <w:tcW w:w="2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id</w:t>
            </w:r>
          </w:p>
        </w:tc>
        <w:tc>
          <w:tcPr>
            <w:tcW w:w="17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bigint identity</w:t>
            </w:r>
          </w:p>
        </w:tc>
        <w:tc>
          <w:tcPr>
            <w:tcW w:w="55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Surrogate primary key</w:t>
            </w:r>
          </w:p>
        </w:tc>
      </w:tr>
      <w:tr>
        <w:trPr/>
        <w:tc>
          <w:tcPr>
            <w:tcW w:w="2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slug</w:t>
            </w:r>
          </w:p>
        </w:tc>
        <w:tc>
          <w:tcPr>
            <w:tcW w:w="17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varchar, unique</w:t>
            </w:r>
          </w:p>
        </w:tc>
        <w:tc>
          <w:tcPr>
            <w:tcW w:w="55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Stable public identifier used in URLs and in the API in place of the numeric id</w:t>
            </w:r>
          </w:p>
        </w:tc>
      </w:tr>
      <w:tr>
        <w:trPr/>
        <w:tc>
          <w:tcPr>
            <w:tcW w:w="2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featured</w:t>
            </w:r>
          </w:p>
        </w:tc>
        <w:tc>
          <w:tcPr>
            <w:tcW w:w="17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boolean</w:t>
            </w:r>
          </w:p>
        </w:tc>
        <w:tc>
          <w:tcPr>
            <w:tcW w:w="55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Marks a record for homepage prominence. Protected: it cannot be set by a contributor or partner payload</w:t>
            </w:r>
          </w:p>
        </w:tc>
      </w:tr>
      <w:tr>
        <w:trPr/>
        <w:tc>
          <w:tcPr>
            <w:tcW w:w="2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published</w:t>
            </w:r>
          </w:p>
        </w:tc>
        <w:tc>
          <w:tcPr>
            <w:tcW w:w="17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boolean</w:t>
            </w:r>
          </w:p>
        </w:tc>
        <w:tc>
          <w:tcPr>
            <w:tcW w:w="55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Public visibility. Every public read filters on it</w:t>
            </w:r>
          </w:p>
        </w:tc>
      </w:tr>
      <w:tr>
        <w:trPr/>
        <w:tc>
          <w:tcPr>
            <w:tcW w:w="2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workflow_status</w:t>
            </w:r>
          </w:p>
        </w:tc>
        <w:tc>
          <w:tcPr>
            <w:tcW w:w="17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varchar</w:t>
            </w:r>
          </w:p>
        </w:tc>
        <w:tc>
          <w:tcPr>
            <w:tcW w:w="55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Editorial state: draft, org_pending, pending, in_review, approved, published, rejected, archived</w:t>
            </w:r>
          </w:p>
        </w:tc>
      </w:tr>
      <w:tr>
        <w:trPr/>
        <w:tc>
          <w:tcPr>
            <w:tcW w:w="2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created_by</w:t>
            </w:r>
          </w:p>
        </w:tc>
        <w:tc>
          <w:tcPr>
            <w:tcW w:w="17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bigint FK to users, ON DELETE SET NULL</w:t>
            </w:r>
          </w:p>
        </w:tc>
        <w:tc>
          <w:tcPr>
            <w:tcW w:w="55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Authorship. Nulled rather than cascaded so deleting a staff account never deletes the sector's content</w:t>
            </w:r>
          </w:p>
        </w:tc>
      </w:tr>
      <w:tr>
        <w:trPr/>
        <w:tc>
          <w:tcPr>
            <w:tcW w:w="2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review_notes</w:t>
            </w:r>
          </w:p>
        </w:tc>
        <w:tc>
          <w:tcPr>
            <w:tcW w:w="17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text</w:t>
            </w:r>
          </w:p>
        </w:tc>
        <w:tc>
          <w:tcPr>
            <w:tcW w:w="55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Reviewer's reason, returned to the author on rejection</w:t>
            </w:r>
          </w:p>
        </w:tc>
      </w:tr>
      <w:tr>
        <w:trPr/>
        <w:tc>
          <w:tcPr>
            <w:tcW w:w="2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reviewed_at</w:t>
            </w:r>
          </w:p>
        </w:tc>
        <w:tc>
          <w:tcPr>
            <w:tcW w:w="17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timestamp</w:t>
            </w:r>
          </w:p>
        </w:tc>
        <w:tc>
          <w:tcPr>
            <w:tcW w:w="55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When the editorial decision was taken</w:t>
            </w:r>
          </w:p>
        </w:tc>
      </w:tr>
      <w:tr>
        <w:trPr/>
        <w:tc>
          <w:tcPr>
            <w:tcW w:w="21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created_at / updated_at</w:t>
            </w:r>
          </w:p>
        </w:tc>
        <w:tc>
          <w:tcPr>
            <w:tcW w:w="170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timestamps</w:t>
            </w:r>
          </w:p>
        </w:tc>
        <w:tc>
          <w:tcPr>
            <w:tcW w:w="55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Record lifecycle</w:t>
            </w:r>
          </w:p>
        </w:tc>
      </w:tr>
    </w:tbl>
    <w:p>
      <w:pPr>
        <w:pStyle w:val="Normal"/>
        <w:spacing w:before="0" w:after="200"/>
        <w:rPr/>
      </w:pPr>
      <w:r>
        <w:rPr/>
      </w:r>
    </w:p>
    <w:p>
      <w:pPr>
        <w:pStyle w:val="Heading2"/>
        <w:rPr/>
      </w:pPr>
      <w:r>
        <w:rPr/>
        <w:t>6.1 Entity summary</w:t>
      </w:r>
    </w:p>
    <w:tbl>
      <w:tblPr>
        <w:tblW w:w="9360" w:type="dxa"/>
        <w:jc w:val="left"/>
        <w:tblInd w:w="0" w:type="dxa"/>
        <w:tblLayout w:type="fixed"/>
        <w:tblCellMar>
          <w:top w:w="80" w:type="dxa"/>
          <w:left w:w="110" w:type="dxa"/>
          <w:bottom w:w="80" w:type="dxa"/>
          <w:right w:w="110" w:type="dxa"/>
        </w:tblCellMar>
      </w:tblPr>
      <w:tblGrid>
        <w:gridCol w:w="1900"/>
        <w:gridCol w:w="5000"/>
        <w:gridCol w:w="2460"/>
      </w:tblGrid>
      <w:tr>
        <w:trPr>
          <w:tblHeader w:val="true"/>
        </w:trPr>
        <w:tc>
          <w:tcPr>
            <w:tcW w:w="19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Entity</w:t>
            </w:r>
          </w:p>
        </w:tc>
        <w:tc>
          <w:tcPr>
            <w:tcW w:w="500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Distinguishing attributes</w:t>
            </w:r>
          </w:p>
        </w:tc>
        <w:tc>
          <w:tcPr>
            <w:tcW w:w="24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Rows held</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Project</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region, district, jsonb regions and districts, location_note, lat, lng, funding_partner, budget, budget_currency, beneficiary_count, jsonb beneficiaries, value_chain, status, start_date, end_date, outcomes, featured_image, jsonb gallery, jsonb attachments, external_url, jsonb notify_partner_ids, partner_role, partner_email</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14</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Technology</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category, jsonb applications, benefits, limitations, operational_notes, maintenance_notes, amount_used, technology_status, featured_image</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8</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Theme</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icon, why_it_matters, featured_image</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8</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entity_kind, type, category, acronym, registration_number, tax_id, year_established, physical_address, postal_address, mission, jsonb coverage_scope, countries, regions, district_coverage, sectors, value_chains, expertise, employees_band, branches_band, beneficiaries_band, annual_budget_range, contact_name, contact_position, contact_email, contact_phone, position, affiliation, years_experience, logo, website, email, phone</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10</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Resource</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type, file_url, file_downloadable, file_disk, file_path, file_name, external_url, publication_date, featured_image</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11</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Event</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type, starts_at, ends_at, is_online, location, registration_url, featured_image</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21</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Opportunity</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opportunity_type, funder, organization, amount, currency, sector, value_chain, region, deadline, eligibility, duties_responsibilities, minimum_education, experience, competences, external_url, application_email, document_url</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41</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Policy</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category, document_url, publication_date</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0</w:t>
            </w:r>
          </w:p>
        </w:tc>
      </w:tr>
      <w:tr>
        <w:trPr/>
        <w:tc>
          <w:tcPr>
            <w:tcW w:w="19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Post</w:t>
            </w:r>
          </w:p>
        </w:tc>
        <w:tc>
          <w:tcPr>
            <w:tcW w:w="500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category, excerpt, body, featured_image, jsonb gallery, published_at</w:t>
            </w:r>
          </w:p>
        </w:tc>
        <w:tc>
          <w:tcPr>
            <w:tcW w:w="24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20</w:t>
            </w:r>
          </w:p>
        </w:tc>
      </w:tr>
    </w:tbl>
    <w:p>
      <w:pPr>
        <w:pStyle w:val="Normal"/>
        <w:spacing w:before="0" w:after="200"/>
        <w:rPr/>
      </w:pPr>
      <w:r>
        <w:rPr/>
      </w:r>
    </w:p>
    <w:p>
      <w:pPr>
        <w:pStyle w:val="Normal"/>
        <w:rPr/>
      </w:pPr>
      <w:r>
        <w:rPr/>
        <w:t>Row counts are as at 29 September 2026 and reflect demonstration content. The policies table is empty, and the SRS records that the policy library has a complete backend and administration interface but is not yet surfaced as a public section.</w:t>
      </w:r>
    </w:p>
    <w:p>
      <w:pPr>
        <w:pStyle w:val="Heading2"/>
        <w:rPr/>
      </w:pPr>
      <w:r>
        <w:rPr/>
        <w:t>6.2 Supporting entities</w:t>
      </w:r>
    </w:p>
    <w:tbl>
      <w:tblPr>
        <w:tblW w:w="9360" w:type="dxa"/>
        <w:jc w:val="left"/>
        <w:tblInd w:w="0" w:type="dxa"/>
        <w:tblLayout w:type="fixed"/>
        <w:tblCellMar>
          <w:top w:w="80" w:type="dxa"/>
          <w:left w:w="110" w:type="dxa"/>
          <w:bottom w:w="80" w:type="dxa"/>
          <w:right w:w="110" w:type="dxa"/>
        </w:tblCellMar>
      </w:tblPr>
      <w:tblGrid>
        <w:gridCol w:w="1900"/>
        <w:gridCol w:w="5000"/>
        <w:gridCol w:w="2460"/>
      </w:tblGrid>
      <w:tr>
        <w:trPr>
          <w:tblHeader w:val="true"/>
        </w:trPr>
        <w:tc>
          <w:tcPr>
            <w:tcW w:w="19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Entity</w:t>
            </w:r>
          </w:p>
        </w:tc>
        <w:tc>
          <w:tcPr>
            <w:tcW w:w="500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Key attributes</w:t>
            </w:r>
          </w:p>
        </w:tc>
        <w:tc>
          <w:tcPr>
            <w:tcW w:w="24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Rows held</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User</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name, username, email, password, status, account_type, organisation, phone, partner_id, approved_at; roles via spatie</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7</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TaxonomyItem</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group, name, slug, sort — groups are value_chains, project_statuses, resource_types, partner_types, technology_categories, beneficiary_tags</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51</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SiteConfig</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Singleton row: jsonb hero, stats, featured; contact_email, contact_phone, about_summary</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1</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Submission</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uuid, submission_type, name, organisation, email, subject, message, status, email_status, admin_notes, submitted_at</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2</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Subscriber</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email, name, token, confirmed_at, unsubscribed_at</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0</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ContentRevision</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Polymorphic revisable_type and revisable_id, jsonb payload, status, created_by, reviewed_by, review_notes, reviewed_at</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1</w:t>
            </w:r>
          </w:p>
        </w:tc>
      </w:tr>
      <w:tr>
        <w:trPr/>
        <w:tc>
          <w:tcPr>
            <w:tcW w:w="19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Notification</w:t>
            </w:r>
          </w:p>
        </w:tc>
        <w:tc>
          <w:tcPr>
            <w:tcW w:w="50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uuid, type, polymorphic notifiable, jsonb data, read_at</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3</w:t>
            </w:r>
          </w:p>
        </w:tc>
      </w:tr>
      <w:tr>
        <w:trPr/>
        <w:tc>
          <w:tcPr>
            <w:tcW w:w="19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Activity log entry</w:t>
            </w:r>
          </w:p>
        </w:tc>
        <w:tc>
          <w:tcPr>
            <w:tcW w:w="500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log_name, description, subject_type, subject_id, causer_type, causer_id, jsonb properties, event, batch_uuid</w:t>
            </w:r>
          </w:p>
        </w:tc>
        <w:tc>
          <w:tcPr>
            <w:tcW w:w="24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158</w:t>
            </w:r>
          </w:p>
        </w:tc>
      </w:tr>
    </w:tbl>
    <w:p>
      <w:pPr>
        <w:pStyle w:val="Normal"/>
        <w:spacing w:before="0" w:after="200"/>
        <w:rPr/>
      </w:pPr>
      <w:r>
        <w:rPr/>
      </w:r>
    </w:p>
    <w:p>
      <w:pPr>
        <w:pStyle w:val="Heading1"/>
        <w:rPr/>
      </w:pPr>
      <w:r>
        <w:rPr/>
        <w:t>7. Database Structure</w:t>
      </w:r>
    </w:p>
    <w:p>
      <w:pPr>
        <w:pStyle w:val="Normal"/>
        <w:rPr/>
      </w:pPr>
      <w:r>
        <w:rPr/>
        <w:t>The schema comprises 39 tables created by 34 migrations. Structure is expressed in three deliberate ways.</w:t>
      </w:r>
    </w:p>
    <w:p>
      <w:pPr>
        <w:pStyle w:val="Heading3"/>
        <w:rPr/>
      </w:pPr>
      <w:r>
        <w:rPr/>
        <w:t>7.1 Relational columns</w:t>
      </w:r>
    </w:p>
    <w:p>
      <w:pPr>
        <w:pStyle w:val="Normal"/>
        <w:rPr/>
      </w:pPr>
      <w:r>
        <w:rPr/>
        <w:t>Single-valued attributes that the application filters, sorts or joins on are ordinary indexed columns: region, district, value_chain, status, sector, opportunity_type, category, type, published, workflow_status, deadline, publication_date.</w:t>
      </w:r>
    </w:p>
    <w:p>
      <w:pPr>
        <w:pStyle w:val="Heading3"/>
        <w:rPr/>
      </w:pPr>
      <w:r>
        <w:rPr/>
        <w:t>7.2 jsonb columns</w:t>
      </w:r>
    </w:p>
    <w:p>
      <w:pPr>
        <w:pStyle w:val="Normal"/>
        <w:rPr/>
      </w:pPr>
      <w:r>
        <w:rPr/>
        <w:t>Repeating attributes that belong to one record and are never joined across records are held as jsonb arrays rather than as child tables. Examples are a project's regions, districts, beneficiaries, gallery and attachments; a technology's applications, benefits and limitations; and a partner's coverage scope, countries, sectors, value chains and expertise.</w:t>
      </w:r>
    </w:p>
    <w:p>
      <w:pPr>
        <w:pStyle w:val="Normal"/>
        <w:rPr/>
      </w:pPr>
      <w:r>
        <w:rPr/>
        <w:t>This is a considered trade-off. It keeps a single record readable and writable in one round trip and avoids nine near-empty child tables, at the cost of not being able to constrain or aggregate those values in SQL. It is the right trade for attributes that are always read with their parent and never independently. It would be the wrong trade if the platform later needs to report across those values — see Section 20.</w:t>
      </w:r>
    </w:p>
    <w:p>
      <w:pPr>
        <w:pStyle w:val="Heading3"/>
        <w:rPr/>
      </w:pPr>
      <w:r>
        <w:rPr/>
        <w:t>7.3 Association tables</w:t>
      </w:r>
    </w:p>
    <w:p>
      <w:pPr>
        <w:pStyle w:val="Normal"/>
        <w:rPr/>
      </w:pPr>
      <w:r>
        <w:rPr/>
        <w:t>Genuine many-to-many relationships between content entities use classic pivot tables, each with cascading deletes on both sides. One carries an attribute of its own: partner_project.role distinguishes an implementing partner from a funding partner on the same project.</w:t>
      </w:r>
    </w:p>
    <w:p>
      <w:pPr>
        <w:pStyle w:val="Heading1"/>
        <w:rPr/>
      </w:pPr>
      <w:r>
        <w:rPr/>
        <w:t>8. Primary and Foreign Keys</w:t>
      </w:r>
    </w:p>
    <w:p>
      <w:pPr>
        <w:pStyle w:val="Normal"/>
        <w:rPr/>
      </w:pPr>
      <w:r>
        <w:rPr/>
        <w:t>Every table uses a surrogate bigint identity primary key. Content entities additionally carry a unique slug, which is the identifier used publicly and in the API; numeric identifiers are never exposed.</w:t>
      </w:r>
    </w:p>
    <w:p>
      <w:pPr>
        <w:pStyle w:val="Normal"/>
        <w:rPr/>
      </w:pPr>
      <w:r>
        <w:rPr/>
        <w:t>Thirty-two foreign keys are declared. Their delete behaviour follows two rules consistently.</w:t>
      </w:r>
    </w:p>
    <w:tbl>
      <w:tblPr>
        <w:tblW w:w="9360" w:type="dxa"/>
        <w:jc w:val="left"/>
        <w:tblInd w:w="0" w:type="dxa"/>
        <w:tblLayout w:type="fixed"/>
        <w:tblCellMar>
          <w:top w:w="80" w:type="dxa"/>
          <w:left w:w="110" w:type="dxa"/>
          <w:bottom w:w="80" w:type="dxa"/>
          <w:right w:w="110" w:type="dxa"/>
        </w:tblCellMar>
      </w:tblPr>
      <w:tblGrid>
        <w:gridCol w:w="2999"/>
        <w:gridCol w:w="1401"/>
        <w:gridCol w:w="4960"/>
      </w:tblGrid>
      <w:tr>
        <w:trPr>
          <w:tblHeader w:val="true"/>
        </w:trPr>
        <w:tc>
          <w:tcPr>
            <w:tcW w:w="29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Pattern</w:t>
            </w:r>
          </w:p>
        </w:tc>
        <w:tc>
          <w:tcPr>
            <w:tcW w:w="1401"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Delete rule</w:t>
            </w:r>
          </w:p>
        </w:tc>
        <w:tc>
          <w:tcPr>
            <w:tcW w:w="49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Rationale</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Association tables: project_technology, project_theme, partner_project, partner_technology, partner_theme, resource_technology, resource_theme, technology_theme</w:t>
            </w:r>
          </w:p>
        </w:tc>
        <w:tc>
          <w:tcPr>
            <w:tcW w:w="14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CASCADE</w:t>
            </w:r>
          </w:p>
        </w:tc>
        <w:tc>
          <w:tcPr>
            <w:tcW w:w="4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 relationship has no meaning once either party is gone, so the join row is removed with it</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Authorship: created_by on projects, technologies, themes, partners, resources, opportunities, policies, posts</w:t>
            </w:r>
          </w:p>
        </w:tc>
        <w:tc>
          <w:tcPr>
            <w:tcW w:w="14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SET NULL</w:t>
            </w:r>
          </w:p>
        </w:tc>
        <w:tc>
          <w:tcPr>
            <w:tcW w:w="4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Deleting a staff account must never delete the sector's content. The record survives with an unattributed author</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users.partner_id</w:t>
            </w:r>
          </w:p>
        </w:tc>
        <w:tc>
          <w:tcPr>
            <w:tcW w:w="14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SET NULL</w:t>
            </w:r>
          </w:p>
        </w:tc>
        <w:tc>
          <w:tcPr>
            <w:tcW w:w="49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Removing an organisation profile detaches its members rather than deleting the accounts</w:t>
            </w:r>
          </w:p>
        </w:tc>
      </w:tr>
      <w:tr>
        <w:trPr/>
        <w:tc>
          <w:tcPr>
            <w:tcW w:w="29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Permission tables: model_has_roles, role_has_permissions, model_has_permissions</w:t>
            </w:r>
          </w:p>
        </w:tc>
        <w:tc>
          <w:tcPr>
            <w:tcW w:w="1401"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CASCADE</w:t>
            </w:r>
          </w:p>
        </w:tc>
        <w:tc>
          <w:tcPr>
            <w:tcW w:w="49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Framework-managed assignment rows</w:t>
            </w:r>
          </w:p>
        </w:tc>
      </w:tr>
    </w:tbl>
    <w:p>
      <w:pPr>
        <w:pStyle w:val="Normal"/>
        <w:spacing w:before="0" w:after="200"/>
        <w:rPr/>
      </w:pPr>
      <w:r>
        <w:rPr/>
      </w:r>
    </w:p>
    <w:p>
      <w:pPr>
        <w:pStyle w:val="Normal"/>
        <w:rPr/>
      </w:pPr>
      <w:r>
        <w:rPr/>
        <w:t>No foreign key uses ON DELETE RESTRICT. SRS Section 6.1 specifies RESTRICT on the foreign keys governing controlled taxonomies, intending that an administrator be blocked from deleting a district, region or value chain that is in use. That constraint is not present, and cannot be as the schema stands, because taxonomy values are stored on content records as text rather than as references to taxonomy_items. See Section 20.</w:t>
      </w:r>
    </w:p>
    <w:p>
      <w:pPr>
        <w:pStyle w:val="Heading1"/>
        <w:rPr/>
      </w:pPr>
      <w:r>
        <w:rPr/>
        <w:t>9. Entity Relationships</w:t>
      </w:r>
    </w:p>
    <w:p>
      <w:pPr>
        <w:pStyle w:val="Heading2"/>
        <w:rPr/>
      </w:pPr>
      <w:r>
        <w:rPr/>
        <w:t>9.1 Relationship map</w:t>
      </w:r>
    </w:p>
    <w:tbl>
      <w:tblPr>
        <w:tblW w:w="9360" w:type="dxa"/>
        <w:jc w:val="left"/>
        <w:tblInd w:w="0" w:type="dxa"/>
        <w:tblLayout w:type="fixed"/>
        <w:tblCellMar>
          <w:top w:w="80" w:type="dxa"/>
          <w:left w:w="110" w:type="dxa"/>
          <w:bottom w:w="80" w:type="dxa"/>
          <w:right w:w="110" w:type="dxa"/>
        </w:tblCellMar>
      </w:tblPr>
      <w:tblGrid>
        <w:gridCol w:w="2000"/>
        <w:gridCol w:w="4900"/>
        <w:gridCol w:w="2460"/>
      </w:tblGrid>
      <w:tr>
        <w:trPr>
          <w:tblHeader w:val="true"/>
        </w:trPr>
        <w:tc>
          <w:tcPr>
            <w:tcW w:w="20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From</w:t>
            </w:r>
          </w:p>
        </w:tc>
        <w:tc>
          <w:tcPr>
            <w:tcW w:w="490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Relationship</w:t>
            </w:r>
          </w:p>
        </w:tc>
        <w:tc>
          <w:tcPr>
            <w:tcW w:w="24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To</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Project</w:t>
            </w:r>
          </w:p>
        </w:tc>
        <w:tc>
          <w:tcPr>
            <w:tcW w:w="49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many-to-many via project_technology</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Technology</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Project</w:t>
            </w:r>
          </w:p>
        </w:tc>
        <w:tc>
          <w:tcPr>
            <w:tcW w:w="49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many-to-many via project_theme</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Theme</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Project</w:t>
            </w:r>
          </w:p>
        </w:tc>
        <w:tc>
          <w:tcPr>
            <w:tcW w:w="49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many-to-many via partner_project, carrying role (implementing or funding)</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Partner</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Technology</w:t>
            </w:r>
          </w:p>
        </w:tc>
        <w:tc>
          <w:tcPr>
            <w:tcW w:w="49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many-to-many via technology_theme</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Theme</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Technology</w:t>
            </w:r>
          </w:p>
        </w:tc>
        <w:tc>
          <w:tcPr>
            <w:tcW w:w="49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many-to-many via resource_technology</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Resource</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Technology</w:t>
            </w:r>
          </w:p>
        </w:tc>
        <w:tc>
          <w:tcPr>
            <w:tcW w:w="49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many-to-many via partner_technology</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Partner</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Theme</w:t>
            </w:r>
          </w:p>
        </w:tc>
        <w:tc>
          <w:tcPr>
            <w:tcW w:w="49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many-to-many via resource_theme</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Resource</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Theme</w:t>
            </w:r>
          </w:p>
        </w:tc>
        <w:tc>
          <w:tcPr>
            <w:tcW w:w="49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many-to-many via partner_theme</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Partner</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User</w:t>
            </w:r>
          </w:p>
        </w:tc>
        <w:tc>
          <w:tcPr>
            <w:tcW w:w="49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many-to-one via users.partner_id</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Partner</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User</w:t>
            </w:r>
          </w:p>
        </w:tc>
        <w:tc>
          <w:tcPr>
            <w:tcW w:w="49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one-to-many via created_by on every content table</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All content entities</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ContentRevision</w:t>
            </w:r>
          </w:p>
        </w:tc>
        <w:tc>
          <w:tcPr>
            <w:tcW w:w="49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polymorphic, via revisable_type and revisable_id</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Any publishable entity</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Notification</w:t>
            </w:r>
          </w:p>
        </w:tc>
        <w:tc>
          <w:tcPr>
            <w:tcW w:w="49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polymorphic, via notifiable_type and notifiable_id</w:t>
            </w:r>
          </w:p>
        </w:tc>
        <w:tc>
          <w:tcPr>
            <w:tcW w:w="2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User</w:t>
            </w:r>
          </w:p>
        </w:tc>
      </w:tr>
      <w:tr>
        <w:trPr/>
        <w:tc>
          <w:tcPr>
            <w:tcW w:w="20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Activity log entry</w:t>
            </w:r>
          </w:p>
        </w:tc>
        <w:tc>
          <w:tcPr>
            <w:tcW w:w="490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polymorphic subject and causer</w:t>
            </w:r>
          </w:p>
        </w:tc>
        <w:tc>
          <w:tcPr>
            <w:tcW w:w="24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Any model and any user</w:t>
            </w:r>
          </w:p>
        </w:tc>
      </w:tr>
    </w:tbl>
    <w:p>
      <w:pPr>
        <w:pStyle w:val="Normal"/>
        <w:spacing w:before="0" w:after="200"/>
        <w:rPr/>
      </w:pPr>
      <w:r>
        <w:rPr/>
      </w:r>
    </w:p>
    <w:p>
      <w:pPr>
        <w:pStyle w:val="Heading2"/>
        <w:rPr/>
      </w:pPr>
      <w:r>
        <w:rPr/>
        <w:t>9.2 Description of the central cluster</w:t>
      </w:r>
    </w:p>
    <w:p>
      <w:pPr>
        <w:pStyle w:val="Normal"/>
        <w:rPr/>
      </w:pPr>
      <w:r>
        <w:rPr/>
        <w:t>The five knowledge entities — Project, Technology, Theme, Partner and Resource — form a fully connected cluster in which every pair that a user might reasonably want to traverse is joined. A visitor reading a theme page can reach its projects, its technologies and its resources; a visitor reading a technology can reach the projects that deployed it, the partners that work with it and the resources that document it. No path requires passing through an intermediary entity that the user did not ask about.</w:t>
      </w:r>
    </w:p>
    <w:p>
      <w:pPr>
        <w:pStyle w:val="Normal"/>
        <w:rPr/>
      </w:pPr>
      <w:r>
        <w:rPr/>
        <w:t>Events, opportunities, policies and posts sit outside the cluster. They are time-bound or announcement-shaped records that are listed, filtered and read, but are not cross-referenced with the knowledge entities. This is a deliberate boundary rather than an omission: joining an opportunity to a theme would imply a durable relationship where only a passing one exists.</w:t>
      </w:r>
    </w:p>
    <w:p>
      <w:pPr>
        <w:pStyle w:val="Normal"/>
        <w:rPr/>
      </w:pPr>
      <w:r>
        <w:rPr/>
        <w:t>Users attach to the cluster at two points only — as authors, through created_by, and as members of an organisation, through partner_id. Identity is therefore separable from content, which is what allows an account to be deleted without disturbing the sector record.</w:t>
      </w:r>
    </w:p>
    <w:p>
      <w:pPr>
        <w:pStyle w:val="Heading2"/>
        <w:rPr/>
      </w:pPr>
      <w:r>
        <w:rPr/>
        <w:t>9.3 Entity relationship diagram</w:t>
      </w:r>
    </w:p>
    <w:p>
      <w:pPr>
        <w:pStyle w:val="Normal"/>
        <w:rPr/>
      </w:pPr>
      <w:r>
        <w:rPr/>
        <w:t>The following text diagram shows the central cluster and its cardinalities. Double-ended arrows denote many-to-many relationships resolved through the named association table.</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THEME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project_theme      |    |    |   resource_theme</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technology_theme  |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v            v                                       v</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PROJECT  |&lt;&gt;|  TECHNOLOGY  |&lt;&gt;--------------------&lt;&gt;|  RESOURCE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  resource_technology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  partner_technology</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partner_project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(role: implementing|funding)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v                                v</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PARTNER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users.partner_id (SET NULL)</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USER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created_by (SET NULL) on all content |</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v                                     v</w:t>
      </w:r>
    </w:p>
    <w:p>
      <w:pPr>
        <w:pStyle w:val="Normal"/>
        <w:spacing w:lineRule="exact" w:line="200" w:before="0" w:after="0"/>
        <w:rPr/>
      </w:pPr>
      <w:r>
        <w:rPr>
          <w:rFonts w:eastAsia="Consolas" w:cs="Consolas" w:ascii="Consolas" w:hAnsi="Consolas"/>
          <w:sz w:val="17"/>
          <w:szCs w:val="17"/>
        </w:rPr>
        <w:t xml:space="preserve">     </w:t>
      </w:r>
      <w:r>
        <w:rPr>
          <w:rFonts w:eastAsia="Consolas" w:cs="Consolas" w:ascii="Consolas" w:hAnsi="Consolas"/>
          <w:sz w:val="17"/>
          <w:szCs w:val="17"/>
        </w:rPr>
        <w:t>[ every publishable entity ]      [ notifications ]</w:t>
      </w:r>
    </w:p>
    <w:p>
      <w:pPr>
        <w:pStyle w:val="Normal"/>
        <w:rPr/>
      </w:pPr>
      <w:r>
        <w:rPr>
          <w:i/>
          <w:iCs/>
          <w:color w:val="5A5A5A"/>
        </w:rPr>
        <w:t>Figure 1: Entity relationship diagram of the central content cluster.</w:t>
      </w:r>
    </w:p>
    <w:p>
      <w:pPr>
        <w:pStyle w:val="Heading1"/>
        <w:rPr/>
      </w:pPr>
      <w:r>
        <w:rPr/>
        <w:t>10. Data Flow Architecture</w:t>
      </w:r>
    </w:p>
    <w:p>
      <w:pPr>
        <w:pStyle w:val="Heading2"/>
        <w:rPr/>
      </w:pPr>
      <w:r>
        <w:rPr/>
        <w:t>10.1 Authoring and publication flow</w:t>
      </w:r>
    </w:p>
    <w:tbl>
      <w:tblPr>
        <w:tblW w:w="9360" w:type="dxa"/>
        <w:jc w:val="left"/>
        <w:tblInd w:w="0" w:type="dxa"/>
        <w:tblLayout w:type="fixed"/>
        <w:tblCellMar>
          <w:top w:w="80" w:type="dxa"/>
          <w:left w:w="110" w:type="dxa"/>
          <w:bottom w:w="80" w:type="dxa"/>
          <w:right w:w="110" w:type="dxa"/>
        </w:tblCellMar>
      </w:tblPr>
      <w:tblGrid>
        <w:gridCol w:w="1500"/>
        <w:gridCol w:w="2400"/>
        <w:gridCol w:w="5460"/>
      </w:tblGrid>
      <w:tr>
        <w:trPr>
          <w:tblHeader w:val="true"/>
        </w:trPr>
        <w:tc>
          <w:tcPr>
            <w:tcW w:w="15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Step</w:t>
            </w:r>
          </w:p>
        </w:tc>
        <w:tc>
          <w:tcPr>
            <w:tcW w:w="240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Actor</w:t>
            </w:r>
          </w:p>
        </w:tc>
        <w:tc>
          <w:tcPr>
            <w:tcW w:w="54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Data effect</w:t>
            </w:r>
          </w:p>
        </w:tc>
      </w:tr>
      <w:tr>
        <w:trPr/>
        <w:tc>
          <w:tcPr>
            <w:tcW w:w="15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1. Draft</w:t>
            </w:r>
          </w:p>
        </w:tc>
        <w:tc>
          <w:tcPr>
            <w:tcW w:w="24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Contributor, partner or staff author</w:t>
            </w:r>
          </w:p>
        </w:tc>
        <w:tc>
          <w:tcPr>
            <w:tcW w:w="5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Row written with workflow_status draft or, on submission, org_pending or pending. published remains false</w:t>
            </w:r>
          </w:p>
        </w:tc>
      </w:tr>
      <w:tr>
        <w:trPr/>
        <w:tc>
          <w:tcPr>
            <w:tcW w:w="15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2. Organisation sign-off</w:t>
            </w:r>
          </w:p>
        </w:tc>
        <w:tc>
          <w:tcPr>
            <w:tcW w:w="24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administrator or partner knowledge manager</w:t>
            </w:r>
          </w:p>
        </w:tc>
        <w:tc>
          <w:tcPr>
            <w:tcW w:w="5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workflow_status moves org_pending to pending. Excluded from the platform queue until this point</w:t>
            </w:r>
          </w:p>
        </w:tc>
      </w:tr>
      <w:tr>
        <w:trPr/>
        <w:tc>
          <w:tcPr>
            <w:tcW w:w="15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3. Platform review</w:t>
            </w:r>
          </w:p>
        </w:tc>
        <w:tc>
          <w:tcPr>
            <w:tcW w:w="24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Reviewer, knowledge manager or administrator</w:t>
            </w:r>
          </w:p>
        </w:tc>
        <w:tc>
          <w:tcPr>
            <w:tcW w:w="5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Approve sets published true and workflow_status published; reject sets rejected and writes review_notes</w:t>
            </w:r>
          </w:p>
        </w:tc>
      </w:tr>
      <w:tr>
        <w:trPr/>
        <w:tc>
          <w:tcPr>
            <w:tcW w:w="15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4. Notification</w:t>
            </w:r>
          </w:p>
        </w:tc>
        <w:tc>
          <w:tcPr>
            <w:tcW w:w="24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System</w:t>
            </w:r>
          </w:p>
        </w:tc>
        <w:tc>
          <w:tcPr>
            <w:tcW w:w="5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Rows written to notifications; mail queued. Author always notified; nominated partners notified on projects</w:t>
            </w:r>
          </w:p>
        </w:tc>
      </w:tr>
      <w:tr>
        <w:trPr/>
        <w:tc>
          <w:tcPr>
            <w:tcW w:w="15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5. Audit</w:t>
            </w:r>
          </w:p>
        </w:tc>
        <w:tc>
          <w:tcPr>
            <w:tcW w:w="24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System</w:t>
            </w:r>
          </w:p>
        </w:tc>
        <w:tc>
          <w:tcPr>
            <w:tcW w:w="5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Row written to activity_log naming actor, action, subject and changed attributes</w:t>
            </w:r>
          </w:p>
        </w:tc>
      </w:tr>
      <w:tr>
        <w:trPr/>
        <w:tc>
          <w:tcPr>
            <w:tcW w:w="15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6. Public read</w:t>
            </w:r>
          </w:p>
        </w:tc>
        <w:tc>
          <w:tcPr>
            <w:tcW w:w="240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Visitor</w:t>
            </w:r>
          </w:p>
        </w:tc>
        <w:tc>
          <w:tcPr>
            <w:tcW w:w="54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Record becomes visible to queries filtering published true. No rebuild or cache invalidation is required</w:t>
            </w:r>
          </w:p>
        </w:tc>
      </w:tr>
    </w:tbl>
    <w:p>
      <w:pPr>
        <w:pStyle w:val="Normal"/>
        <w:spacing w:before="0" w:after="200"/>
        <w:rPr/>
      </w:pPr>
      <w:r>
        <w:rPr/>
      </w:r>
    </w:p>
    <w:p>
      <w:pPr>
        <w:pStyle w:val="Heading2"/>
        <w:rPr/>
      </w:pPr>
      <w:r>
        <w:rPr/>
        <w:t>10.2 Revision flow for published records</w:t>
      </w:r>
    </w:p>
    <w:p>
      <w:pPr>
        <w:pStyle w:val="Normal"/>
        <w:rPr/>
      </w:pPr>
      <w:r>
        <w:rPr/>
        <w:t>An edit to an already published record does not touch it. The submitted attributes are written to content_revisions as a jsonb payload with status pending, and the live row is left alone. The review queue presents a field-by-field before-and-after comparison. On approval the payload is applied to the parent record and many-to-many relations are re-synchronised through the owning controller. The public therefore never sees a published record disappear while an edit is considered.</w:t>
      </w:r>
    </w:p>
    <w:p>
      <w:pPr>
        <w:pStyle w:val="Heading2"/>
        <w:rPr/>
      </w:pPr>
      <w:r>
        <w:rPr/>
        <w:t>10.3 Read flow</w:t>
      </w:r>
    </w:p>
    <w:p>
      <w:pPr>
        <w:pStyle w:val="Normal"/>
        <w:rPr/>
      </w:pPr>
      <w:r>
        <w:rPr/>
        <w:t>Every public page fetches from the API in the browser at view time. There is no build-time data baking and no prerendered content, which is why a record approved at any moment is publicly visible on the next page load without a deployment. The consequence for the data layer is that public traffic translates directly into database reads; Section 19 addresses the scaling implication.</w:t>
      </w:r>
    </w:p>
    <w:p>
      <w:pPr>
        <w:pStyle w:val="Heading1"/>
        <w:rPr/>
      </w:pPr>
      <w:r>
        <w:rPr/>
        <w:t>11. Application-to-Database Interaction</w:t>
      </w:r>
    </w:p>
    <w:p>
      <w:pPr>
        <w:pStyle w:val="Normal"/>
        <w:rPr/>
      </w:pPr>
      <w:r>
        <w:rPr/>
        <w:t>All access is through Eloquent models. Controllers inherit from a shared content controller that implements listing, filtering, showing, creating, updating and deleting once, so a new content type acquires correct behaviour by declaring its model, its resource transformer, its searchable columns and its filter map rather than by reimplementing query logic.</w:t>
      </w:r>
    </w:p>
    <w:p>
      <w:pPr>
        <w:pStyle w:val="Normal"/>
        <w:rPr/>
      </w:pPr>
      <w:r>
        <w:rPr/>
        <w:t>Two interaction rules are enforced at the write boundary:</w:t>
      </w:r>
    </w:p>
    <w:p>
      <w:pPr>
        <w:pStyle w:val="ListParagraph"/>
        <w:numPr>
          <w:ilvl w:val="0"/>
          <w:numId w:val="1"/>
        </w:numPr>
        <w:rPr/>
      </w:pPr>
      <w:r>
        <w:rPr/>
        <w:t>Inbound payloads are mapped explicitly from camelCase API fields to snake_case columns through a per-controller map. A field absent from that map is silently not written, which is deliberate: it means an unexpected field in a request body cannot reach a column.</w:t>
      </w:r>
    </w:p>
    <w:p>
      <w:pPr>
        <w:pStyle w:val="ListParagraph"/>
        <w:numPr>
          <w:ilvl w:val="0"/>
          <w:numId w:val="1"/>
        </w:numPr>
        <w:rPr/>
      </w:pPr>
      <w:r>
        <w:rPr/>
        <w:t>Protected attributes — published, workflow_status, featured, created_by, slug, reviewed_at, review_notes — are stripped from payloads submitted by non-managing roles before the model is touched, closing a self-publishing route through the API.</w:t>
      </w:r>
    </w:p>
    <w:p>
      <w:pPr>
        <w:pStyle w:val="Normal"/>
        <w:rPr/>
      </w:pPr>
      <w:r>
        <w:rPr/>
        <w:t>Rich-text fields are rebuilt from an allow-list before storage, so markup outside the permitted vocabulary cannot be persisted however it is encoded.</w:t>
      </w:r>
    </w:p>
    <w:p>
      <w:pPr>
        <w:pStyle w:val="Heading1"/>
        <w:rPr/>
      </w:pPr>
      <w:r>
        <w:rPr/>
        <w:t>12. API Data Exchange</w:t>
      </w:r>
    </w:p>
    <w:p>
      <w:pPr>
        <w:pStyle w:val="Normal"/>
        <w:rPr/>
      </w:pPr>
      <w:r>
        <w:rPr/>
        <w:t>The API exposes 103 routes under /api/v1. Data leaves the database only through resource transformer classes, one per entity, which map columns to a stable camelCase public shape. That indirection is what allows a column to be renamed without breaking a consumer, and it is where null is normalised to an empty string so that client code can test a field without guarding for two empty values.</w:t>
      </w:r>
    </w:p>
    <w:tbl>
      <w:tblPr>
        <w:tblW w:w="9360" w:type="dxa"/>
        <w:jc w:val="left"/>
        <w:tblInd w:w="0" w:type="dxa"/>
        <w:tblLayout w:type="fixed"/>
        <w:tblCellMar>
          <w:top w:w="80" w:type="dxa"/>
          <w:left w:w="110" w:type="dxa"/>
          <w:bottom w:w="80" w:type="dxa"/>
          <w:right w:w="110" w:type="dxa"/>
        </w:tblCellMar>
      </w:tblPr>
      <w:tblGrid>
        <w:gridCol w:w="2399"/>
        <w:gridCol w:w="1401"/>
        <w:gridCol w:w="5560"/>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Exchange</w:t>
            </w:r>
          </w:p>
        </w:tc>
        <w:tc>
          <w:tcPr>
            <w:tcW w:w="1401"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Direction</w:t>
            </w:r>
          </w:p>
        </w:tc>
        <w:tc>
          <w:tcPr>
            <w:tcW w:w="55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Shape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Public content reads</w:t>
            </w:r>
          </w:p>
        </w:tc>
        <w:tc>
          <w:tcPr>
            <w:tcW w:w="14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w:t>
            </w:r>
          </w:p>
        </w:tc>
        <w:tc>
          <w:tcPr>
            <w:tcW w:w="55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JSON envelope with a data key; published records only</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Search</w:t>
            </w:r>
          </w:p>
        </w:tc>
        <w:tc>
          <w:tcPr>
            <w:tcW w:w="14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w:t>
            </w:r>
          </w:p>
        </w:tc>
        <w:tc>
          <w:tcPr>
            <w:tcW w:w="55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Ranked results with per-type facet counts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Open data</w:t>
            </w:r>
          </w:p>
        </w:tc>
        <w:tc>
          <w:tcPr>
            <w:tcW w:w="14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w:t>
            </w:r>
          </w:p>
        </w:tc>
        <w:tc>
          <w:tcPr>
            <w:tcW w:w="55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CSV and GeoJSON streams of the published project dataset</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Authenticated writes</w:t>
            </w:r>
          </w:p>
        </w:tc>
        <w:tc>
          <w:tcPr>
            <w:tcW w:w="14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In</w:t>
            </w:r>
          </w:p>
        </w:tc>
        <w:tc>
          <w:tcPr>
            <w:tcW w:w="55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camelCase JSON mapped explicitly to columns; protected attributes stripped</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Media upload</w:t>
            </w:r>
          </w:p>
        </w:tc>
        <w:tc>
          <w:tcPr>
            <w:tcW w:w="14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In</w:t>
            </w:r>
          </w:p>
        </w:tc>
        <w:tc>
          <w:tcPr>
            <w:tcW w:w="55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multipart/form-data, validated against an allow-list of image and document MIME types</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Restricted file read</w:t>
            </w:r>
          </w:p>
        </w:tc>
        <w:tc>
          <w:tcPr>
            <w:tcW w:w="1401"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Out</w:t>
            </w:r>
          </w:p>
        </w:tc>
        <w:tc>
          <w:tcPr>
            <w:tcW w:w="55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Short-lived signed URL, then an inline byte stream from the private disk</w:t>
            </w:r>
          </w:p>
        </w:tc>
      </w:tr>
    </w:tbl>
    <w:p>
      <w:pPr>
        <w:pStyle w:val="Normal"/>
        <w:spacing w:before="0" w:after="200"/>
        <w:rPr/>
      </w:pPr>
      <w:r>
        <w:rPr/>
      </w:r>
    </w:p>
    <w:p>
      <w:pPr>
        <w:pStyle w:val="Normal"/>
        <w:rPr/>
      </w:pPr>
      <w:r>
        <w:rPr/>
        <w:t>SRS Section 4.2.1 specifies a uniform error envelope carrying success, code, message, details and timestamp on every non-2xx response. This is not implemented; the API returns the framework's default error and validation shapes. It is recorded in Section 20 because an external consumer onboarded against the SRS text would find the contract different in practice.</w:t>
      </w:r>
    </w:p>
    <w:p>
      <w:pPr>
        <w:pStyle w:val="Heading1"/>
        <w:rPr/>
      </w:pPr>
      <w:r>
        <w:rPr/>
        <w:t>13. External System Integrations</w:t>
      </w:r>
    </w:p>
    <w:p>
      <w:pPr>
        <w:pStyle w:val="Normal"/>
        <w:rPr/>
      </w:pPr>
      <w:r>
        <w:rPr/>
        <w:t>The platform holds no data in any external system and receives no data from one. Two read-only services are used at the presentation layer:</w:t>
      </w:r>
    </w:p>
    <w:p>
      <w:pPr>
        <w:pStyle w:val="ListParagraph"/>
        <w:numPr>
          <w:ilvl w:val="0"/>
          <w:numId w:val="1"/>
        </w:numPr>
        <w:rPr/>
      </w:pPr>
      <w:r>
        <w:rPr/>
        <w:t>A place-name geocoding service, consulted when an author types a location so that coordinates can be resolved. The resulting coordinates are stored on the project record, so map rendering never depends on the geocoder afterwards.</w:t>
      </w:r>
    </w:p>
    <w:p>
      <w:pPr>
        <w:pStyle w:val="ListParagraph"/>
        <w:numPr>
          <w:ilvl w:val="0"/>
          <w:numId w:val="1"/>
        </w:numPr>
        <w:rPr/>
      </w:pPr>
      <w:r>
        <w:rPr/>
        <w:t>A vector map tile provider supplying base cartography. It receives viewport requests and no platform data.</w:t>
      </w:r>
    </w:p>
    <w:p>
      <w:pPr>
        <w:pStyle w:val="Normal"/>
        <w:rPr/>
      </w:pPr>
      <w:r>
        <w:rPr/>
        <w:t>No machine-to-machine integration with a national system forms part of this delivery. The public read API is the surface over which such an integration would be built, and it already exposes the full published dataset, so onboarding a consumer requires no new backend development.</w:t>
      </w:r>
    </w:p>
    <w:p>
      <w:pPr>
        <w:pStyle w:val="Heading1"/>
        <w:rPr/>
      </w:pPr>
      <w:r>
        <w:rPr/>
        <w:t>14. Data Validation and Transformation</w:t>
      </w:r>
    </w:p>
    <w:p>
      <w:pPr>
        <w:pStyle w:val="Heading2"/>
        <w:rPr/>
      </w:pPr>
      <w:r>
        <w:rPr/>
        <w:t>14.1 Validation</w:t>
      </w:r>
    </w:p>
    <w:tbl>
      <w:tblPr>
        <w:tblW w:w="9360" w:type="dxa"/>
        <w:jc w:val="left"/>
        <w:tblInd w:w="0" w:type="dxa"/>
        <w:tblLayout w:type="fixed"/>
        <w:tblCellMar>
          <w:top w:w="80" w:type="dxa"/>
          <w:left w:w="110" w:type="dxa"/>
          <w:bottom w:w="80" w:type="dxa"/>
          <w:right w:w="110" w:type="dxa"/>
        </w:tblCellMar>
      </w:tblPr>
      <w:tblGrid>
        <w:gridCol w:w="1699"/>
        <w:gridCol w:w="2201"/>
        <w:gridCol w:w="5460"/>
      </w:tblGrid>
      <w:tr>
        <w:trPr>
          <w:tblHeader w:val="true"/>
        </w:trPr>
        <w:tc>
          <w:tcPr>
            <w:tcW w:w="16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Layer</w:t>
            </w:r>
          </w:p>
        </w:tc>
        <w:tc>
          <w:tcPr>
            <w:tcW w:w="2201"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Applied to</w:t>
            </w:r>
          </w:p>
        </w:tc>
        <w:tc>
          <w:tcPr>
            <w:tcW w:w="54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Examples</w:t>
            </w:r>
          </w:p>
        </w:tc>
      </w:tr>
      <w:tr>
        <w:trPr/>
        <w:tc>
          <w:tcPr>
            <w:tcW w:w="16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Interface</w:t>
            </w:r>
          </w:p>
        </w:tc>
        <w:tc>
          <w:tcPr>
            <w:tcW w:w="2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Author input before submission</w:t>
            </w:r>
          </w:p>
        </w:tc>
        <w:tc>
          <w:tcPr>
            <w:tcW w:w="5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Required fields, email and telephone format, expertise capped at three selections, controlled region and district lists</w:t>
            </w:r>
          </w:p>
        </w:tc>
      </w:tr>
      <w:tr>
        <w:trPr/>
        <w:tc>
          <w:tcPr>
            <w:tcW w:w="16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API request</w:t>
            </w:r>
          </w:p>
        </w:tc>
        <w:tc>
          <w:tcPr>
            <w:tcW w:w="2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Every write</w:t>
            </w:r>
          </w:p>
        </w:tc>
        <w:tc>
          <w:tcPr>
            <w:tcW w:w="5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Type and length rules; email format on application addresses; date parsing on deadlines</w:t>
            </w:r>
          </w:p>
        </w:tc>
      </w:tr>
      <w:tr>
        <w:trPr/>
        <w:tc>
          <w:tcPr>
            <w:tcW w:w="16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Write boundary</w:t>
            </w:r>
          </w:p>
        </w:tc>
        <w:tc>
          <w:tcPr>
            <w:tcW w:w="2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Every write by a non-managing role</w:t>
            </w:r>
          </w:p>
        </w:tc>
        <w:tc>
          <w:tcPr>
            <w:tcW w:w="5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Protected attributes stripped; workflow state set by the server, never by the payload</w:t>
            </w:r>
          </w:p>
        </w:tc>
      </w:tr>
      <w:tr>
        <w:trPr/>
        <w:tc>
          <w:tcPr>
            <w:tcW w:w="16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Sanitisation</w:t>
            </w:r>
          </w:p>
        </w:tc>
        <w:tc>
          <w:tcPr>
            <w:tcW w:w="2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Rich-text fields</w:t>
            </w:r>
          </w:p>
        </w:tc>
        <w:tc>
          <w:tcPr>
            <w:tcW w:w="5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HTML rebuilt from an allow-list; link schemes restricted; external links given noopener</w:t>
            </w:r>
          </w:p>
        </w:tc>
      </w:tr>
      <w:tr>
        <w:trPr/>
        <w:tc>
          <w:tcPr>
            <w:tcW w:w="16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Upload</w:t>
            </w:r>
          </w:p>
        </w:tc>
        <w:tc>
          <w:tcPr>
            <w:tcW w:w="2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Media</w:t>
            </w:r>
          </w:p>
        </w:tc>
        <w:tc>
          <w:tcPr>
            <w:tcW w:w="5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Extension and MIME allow-list, size limit, storage on a non-executing path</w:t>
            </w:r>
          </w:p>
        </w:tc>
      </w:tr>
      <w:tr>
        <w:trPr/>
        <w:tc>
          <w:tcPr>
            <w:tcW w:w="16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Database</w:t>
            </w:r>
          </w:p>
        </w:tc>
        <w:tc>
          <w:tcPr>
            <w:tcW w:w="2201"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Schema</w:t>
            </w:r>
          </w:p>
        </w:tc>
        <w:tc>
          <w:tcPr>
            <w:tcW w:w="54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NOT NULL, uniqueness on slugs and emails, foreign key integrity</w:t>
            </w:r>
          </w:p>
        </w:tc>
      </w:tr>
    </w:tbl>
    <w:p>
      <w:pPr>
        <w:pStyle w:val="Normal"/>
        <w:spacing w:before="0" w:after="200"/>
        <w:rPr/>
      </w:pPr>
      <w:r>
        <w:rPr/>
      </w:r>
    </w:p>
    <w:p>
      <w:pPr>
        <w:pStyle w:val="Normal"/>
        <w:rPr/>
      </w:pPr>
      <w:r>
        <w:rPr/>
        <w:t>Validation that project coordinates fall within Uganda's bounding box is specified by FR-10.8 and is not implemented at any layer.</w:t>
      </w:r>
    </w:p>
    <w:p>
      <w:pPr>
        <w:pStyle w:val="Heading2"/>
        <w:rPr/>
      </w:pPr>
      <w:r>
        <w:rPr/>
        <w:t>14.2 Transformation</w:t>
      </w:r>
    </w:p>
    <w:p>
      <w:pPr>
        <w:pStyle w:val="ListParagraph"/>
        <w:numPr>
          <w:ilvl w:val="0"/>
          <w:numId w:val="1"/>
        </w:numPr>
        <w:rPr/>
      </w:pPr>
      <w:r>
        <w:rPr/>
        <w:t>Slugs are generated from titles on create and made unique by suffixing; they are never regenerated on edit, so a published address remains stable.</w:t>
      </w:r>
    </w:p>
    <w:p>
      <w:pPr>
        <w:pStyle w:val="ListParagraph"/>
        <w:numPr>
          <w:ilvl w:val="0"/>
          <w:numId w:val="1"/>
        </w:numPr>
        <w:rPr/>
      </w:pPr>
      <w:r>
        <w:rPr/>
        <w:t>Stored media URLs are held relative and resolved against the current host at read time, so one database can serve several environments.</w:t>
      </w:r>
    </w:p>
    <w:p>
      <w:pPr>
        <w:pStyle w:val="ListParagraph"/>
        <w:numPr>
          <w:ilvl w:val="0"/>
          <w:numId w:val="1"/>
        </w:numPr>
        <w:rPr/>
      </w:pPr>
      <w:r>
        <w:rPr/>
        <w:t>Report date grouping is performed in PHP rather than SQL, deliberately, so that report behaviour does not depend on the database engine.</w:t>
      </w:r>
    </w:p>
    <w:p>
      <w:pPr>
        <w:pStyle w:val="ListParagraph"/>
        <w:numPr>
          <w:ilvl w:val="0"/>
          <w:numId w:val="1"/>
        </w:numPr>
        <w:rPr/>
      </w:pPr>
      <w:r>
        <w:rPr/>
        <w:t>Search builds a weighted text vector per query from title, summary and description, with title weighted highest.</w:t>
      </w:r>
    </w:p>
    <w:p>
      <w:pPr>
        <w:pStyle w:val="Heading1"/>
        <w:rPr/>
      </w:pPr>
      <w:r>
        <w:rPr/>
        <w:t>15. Data Storage</w:t>
      </w:r>
    </w:p>
    <w:tbl>
      <w:tblPr>
        <w:tblW w:w="9360" w:type="dxa"/>
        <w:jc w:val="left"/>
        <w:tblInd w:w="0" w:type="dxa"/>
        <w:tblLayout w:type="fixed"/>
        <w:tblCellMar>
          <w:top w:w="80" w:type="dxa"/>
          <w:left w:w="110" w:type="dxa"/>
          <w:bottom w:w="80" w:type="dxa"/>
          <w:right w:w="110" w:type="dxa"/>
        </w:tblCellMar>
      </w:tblPr>
      <w:tblGrid>
        <w:gridCol w:w="2399"/>
        <w:gridCol w:w="3480"/>
        <w:gridCol w:w="3481"/>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Class of data</w:t>
            </w:r>
          </w:p>
        </w:tc>
        <w:tc>
          <w:tcPr>
            <w:tcW w:w="348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Where it lives</w:t>
            </w:r>
          </w:p>
        </w:tc>
        <w:tc>
          <w:tcPr>
            <w:tcW w:w="348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Notes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Structured content</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PostgreSQL</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All nine content entities and their associations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Public media</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Application host, public disk, symlinked into the web root</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Images, galleries, downloadable documents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Restricted files</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Application host, private disk outside the web root</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View-only resource files, reachable only through a signed, access-checked endpoint</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Session and queue state</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PostgreSQL</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Database-backed queue and session storage</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Interface preference</w:t>
            </w:r>
          </w:p>
        </w:tc>
        <w:tc>
          <w:tcPr>
            <w:tcW w:w="348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Viewer's browser</w:t>
            </w:r>
          </w:p>
        </w:tc>
        <w:tc>
          <w:tcPr>
            <w:tcW w:w="348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Theme and language only; never synchronised and never read by the server</w:t>
            </w:r>
          </w:p>
        </w:tc>
      </w:tr>
    </w:tbl>
    <w:p>
      <w:pPr>
        <w:pStyle w:val="Normal"/>
        <w:spacing w:before="0" w:after="200"/>
        <w:rPr/>
      </w:pPr>
      <w:r>
        <w:rPr/>
      </w:r>
    </w:p>
    <w:p>
      <w:pPr>
        <w:pStyle w:val="Normal"/>
        <w:rPr/>
      </w:pPr>
      <w:r>
        <w:rPr/>
        <w:t>Media on the application host couples content to a single machine and complicates both backup and horizontal scaling. SRS Section 11.3 recommends moving uploads to object storage in production; this has not been done.</w:t>
      </w:r>
    </w:p>
    <w:p>
      <w:pPr>
        <w:pStyle w:val="Heading1"/>
        <w:rPr/>
      </w:pPr>
      <w:r>
        <w:rPr/>
        <w:t>16. Data Security and Access Control</w:t>
      </w:r>
    </w:p>
    <w:p>
      <w:pPr>
        <w:pStyle w:val="Heading2"/>
        <w:rPr/>
      </w:pPr>
      <w:r>
        <w:rPr/>
        <w:t>16.1 Access control</w:t>
      </w:r>
    </w:p>
    <w:p>
      <w:pPr>
        <w:pStyle w:val="Normal"/>
        <w:rPr/>
      </w:pPr>
      <w:r>
        <w:rPr/>
        <w:t>Authorisation is centralised in a small set of named gates and one shared content policy, consulting role groups defined in a single file. Access is enforced in the API on every request; the interface reflects those rules but never enforces them.</w:t>
      </w:r>
    </w:p>
    <w:p>
      <w:pPr>
        <w:pStyle w:val="ListParagraph"/>
        <w:numPr>
          <w:ilvl w:val="0"/>
          <w:numId w:val="1"/>
        </w:numPr>
        <w:rPr/>
      </w:pPr>
      <w:r>
        <w:rPr/>
        <w:t>Read access to published content is unauthenticated by design — it is a public knowledge platform.</w:t>
      </w:r>
    </w:p>
    <w:p>
      <w:pPr>
        <w:pStyle w:val="ListParagraph"/>
        <w:numPr>
          <w:ilvl w:val="0"/>
          <w:numId w:val="1"/>
        </w:numPr>
        <w:rPr/>
      </w:pPr>
      <w:r>
        <w:rPr/>
        <w:t>Unpublished content is visible only to staff, resolved through the token guard even on public read routes.</w:t>
      </w:r>
    </w:p>
    <w:p>
      <w:pPr>
        <w:pStyle w:val="ListParagraph"/>
        <w:numPr>
          <w:ilvl w:val="0"/>
          <w:numId w:val="1"/>
        </w:numPr>
        <w:rPr/>
      </w:pPr>
      <w:r>
        <w:rPr/>
        <w:t>Ownership for a partner account means the whole organisation's records, not only self-authored ones.</w:t>
      </w:r>
    </w:p>
    <w:p>
      <w:pPr>
        <w:pStyle w:val="ListParagraph"/>
        <w:numPr>
          <w:ilvl w:val="0"/>
          <w:numId w:val="1"/>
        </w:numPr>
        <w:rPr/>
      </w:pPr>
      <w:r>
        <w:rPr/>
        <w:t>A reviewer may never approve a record they authored, at either the organisation or the platform stage.</w:t>
      </w:r>
    </w:p>
    <w:p>
      <w:pPr>
        <w:pStyle w:val="ListParagraph"/>
        <w:numPr>
          <w:ilvl w:val="0"/>
          <w:numId w:val="1"/>
        </w:numPr>
        <w:rPr/>
      </w:pPr>
      <w:r>
        <w:rPr/>
        <w:t>The gates guarding system settings and the audit trail return false for every role, so only the super administrator's blanket authorisation admits them; an omitted check cannot accidentally open them.</w:t>
      </w:r>
    </w:p>
    <w:p>
      <w:pPr>
        <w:pStyle w:val="Heading2"/>
        <w:rPr/>
      </w:pPr>
      <w:r>
        <w:rPr/>
        <w:t>16.2 Data protection at rest and in transit</w:t>
      </w:r>
    </w:p>
    <w:p>
      <w:pPr>
        <w:pStyle w:val="ListParagraph"/>
        <w:numPr>
          <w:ilvl w:val="0"/>
          <w:numId w:val="1"/>
        </w:numPr>
        <w:rPr/>
      </w:pPr>
      <w:r>
        <w:rPr/>
        <w:t>Passwords are stored as bcrypt hashes; no credential is recoverable.</w:t>
      </w:r>
    </w:p>
    <w:p>
      <w:pPr>
        <w:pStyle w:val="ListParagraph"/>
        <w:numPr>
          <w:ilvl w:val="0"/>
          <w:numId w:val="1"/>
        </w:numPr>
        <w:rPr/>
      </w:pPr>
      <w:r>
        <w:rPr/>
        <w:t>Bearer tokens are stored hashed in personal_access_tokens and are revoked on sign-out.</w:t>
      </w:r>
    </w:p>
    <w:p>
      <w:pPr>
        <w:pStyle w:val="ListParagraph"/>
        <w:numPr>
          <w:ilvl w:val="0"/>
          <w:numId w:val="1"/>
        </w:numPr>
        <w:rPr/>
      </w:pPr>
      <w:r>
        <w:rPr/>
        <w:t>TLS terminates at nginx, the single public entry point.</w:t>
      </w:r>
    </w:p>
    <w:p>
      <w:pPr>
        <w:pStyle w:val="ListParagraph"/>
        <w:numPr>
          <w:ilvl w:val="0"/>
          <w:numId w:val="1"/>
        </w:numPr>
        <w:rPr/>
      </w:pPr>
      <w:r>
        <w:rPr/>
        <w:t>Uploads are served from a path configured not to execute server-side code.</w:t>
      </w:r>
    </w:p>
    <w:p>
      <w:pPr>
        <w:pStyle w:val="ListParagraph"/>
        <w:numPr>
          <w:ilvl w:val="0"/>
          <w:numId w:val="1"/>
        </w:numPr>
        <w:rPr/>
      </w:pPr>
      <w:r>
        <w:rPr/>
        <w:t>Restricted files are never addressable directly; access requires a signature that expires after fifteen minutes.</w:t>
      </w:r>
    </w:p>
    <w:p>
      <w:pPr>
        <w:pStyle w:val="Normal"/>
        <w:rPr/>
      </w:pPr>
      <w:r>
        <w:rPr/>
        <w:t>Not implemented, though specified in SRS Section 5: multi-factor authentication for privileged accounts, and bearer token expiry — issued tokens presently do not expire.</w:t>
      </w:r>
    </w:p>
    <w:p>
      <w:pPr>
        <w:pStyle w:val="Heading1"/>
        <w:rPr/>
      </w:pPr>
      <w:r>
        <w:rPr/>
        <w:t>17. Data Privacy Considerations</w:t>
      </w:r>
    </w:p>
    <w:p>
      <w:pPr>
        <w:pStyle w:val="Normal"/>
        <w:rPr/>
      </w:pPr>
      <w:r>
        <w:rPr/>
        <w:t>The platform holds personal data in three places: user accounts, partner contact persons, and public submissions and newsletter subscriptions.</w:t>
      </w:r>
    </w:p>
    <w:tbl>
      <w:tblPr>
        <w:tblW w:w="9360" w:type="dxa"/>
        <w:jc w:val="left"/>
        <w:tblInd w:w="0" w:type="dxa"/>
        <w:tblLayout w:type="fixed"/>
        <w:tblCellMar>
          <w:top w:w="80" w:type="dxa"/>
          <w:left w:w="110" w:type="dxa"/>
          <w:bottom w:w="80" w:type="dxa"/>
          <w:right w:w="110" w:type="dxa"/>
        </w:tblCellMar>
      </w:tblPr>
      <w:tblGrid>
        <w:gridCol w:w="2399"/>
        <w:gridCol w:w="3480"/>
        <w:gridCol w:w="3481"/>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Data</w:t>
            </w:r>
          </w:p>
        </w:tc>
        <w:tc>
          <w:tcPr>
            <w:tcW w:w="348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Held in</w:t>
            </w:r>
          </w:p>
        </w:tc>
        <w:tc>
          <w:tcPr>
            <w:tcW w:w="348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Current position</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Account credentials and contact details</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users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Name, username, email, telephone, hashed password, organisation</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Organisation contact person</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Name, position, email and telephone of a named individual</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Public enquiry</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submissions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Name, organisation, email and free-text message</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Newsletter subscription</w:t>
            </w:r>
          </w:p>
        </w:tc>
        <w:tc>
          <w:tcPr>
            <w:tcW w:w="348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subscribers</w:t>
            </w:r>
          </w:p>
        </w:tc>
        <w:tc>
          <w:tcPr>
            <w:tcW w:w="348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Email and optional name, with double opt-in and one-click unsubscribe</w:t>
            </w:r>
          </w:p>
        </w:tc>
      </w:tr>
    </w:tbl>
    <w:p>
      <w:pPr>
        <w:pStyle w:val="Normal"/>
        <w:spacing w:before="0" w:after="200"/>
        <w:rPr/>
      </w:pPr>
      <w:r>
        <w:rPr/>
      </w:r>
    </w:p>
    <w:p>
      <w:pPr>
        <w:pStyle w:val="Normal"/>
        <w:rPr/>
      </w:pPr>
      <w:r>
        <w:rPr/>
        <w:t>Two requirements of SRS Section 5, both framed against Uganda's Data Protection and Privacy Act, are outstanding. There is no timestamped consent record against personal data collected at registration, on forms or on newsletter subscription. And there is no retention routine: the SRS requires that public submissions and contact entries be anonymised or expunged after twenty-four months of inactivity, and no such routine exists — nor could it run, as no task scheduler is configured. A privacy notice has not been published.</w:t>
      </w:r>
    </w:p>
    <w:p>
      <w:pPr>
        <w:pStyle w:val="Heading1"/>
        <w:rPr/>
      </w:pPr>
      <w:r>
        <w:rPr/>
        <w:t>18. Audit Logging</w:t>
      </w:r>
    </w:p>
    <w:p>
      <w:pPr>
        <w:pStyle w:val="Normal"/>
        <w:rPr/>
      </w:pPr>
      <w:r>
        <w:rPr/>
        <w:t>Auditing uses two complementary mechanisms writing to one table, activity_log, which holds 158 entries at the time of writing.</w:t>
      </w:r>
    </w:p>
    <w:p>
      <w:pPr>
        <w:pStyle w:val="ListParagraph"/>
        <w:numPr>
          <w:ilvl w:val="0"/>
          <w:numId w:val="1"/>
        </w:numPr>
        <w:rPr/>
      </w:pPr>
      <w:r>
        <w:rPr/>
        <w:t>Model-level logging records changes to a defined attribute set on every publishable entity — title or name, slug, published, workflow_status and featured — capturing only the attributes that actually changed.</w:t>
      </w:r>
    </w:p>
    <w:p>
      <w:pPr>
        <w:pStyle w:val="ListParagraph"/>
        <w:numPr>
          <w:ilvl w:val="0"/>
          <w:numId w:val="1"/>
        </w:numPr>
        <w:rPr/>
      </w:pPr>
      <w:r>
        <w:rPr/>
        <w:t>Explicit workflow logging records each editorial transition by name: submitted, approved, rejected, org_approved, org_returned, revision_approved and revision_rejected. Bulk actions write one entry per affected record, not one per batch, so a bulk publish of forty records is forty audit entries.</w:t>
      </w:r>
    </w:p>
    <w:p>
      <w:pPr>
        <w:pStyle w:val="Normal"/>
        <w:rPr/>
      </w:pPr>
      <w:r>
        <w:rPr/>
        <w:t>Each entry carries the actor, the action, the affected record as a polymorphic subject, the changed attributes as jsonb, and a timestamp. This satisfies the auditability requirement in SRS Section 5: for any published record it is possible to establish who created it, who approved it and when.</w:t>
      </w:r>
    </w:p>
    <w:p>
      <w:pPr>
        <w:pStyle w:val="Normal"/>
        <w:rPr/>
      </w:pPr>
      <w:r>
        <w:rPr/>
        <w:t>The audit trail is readable only by the super administrator. It is append-only in practice — nothing in the application deletes from it — though this is a matter of application behaviour rather than a database-level constraint.</w:t>
      </w:r>
    </w:p>
    <w:p>
      <w:pPr>
        <w:pStyle w:val="Heading1"/>
        <w:rPr/>
      </w:pPr>
      <w:r>
        <w:rPr/>
        <w:t>19. Reporting and Analytics Data</w:t>
      </w:r>
    </w:p>
    <w:p>
      <w:pPr>
        <w:pStyle w:val="Normal"/>
        <w:rPr/>
      </w:pPr>
      <w:r>
        <w:rPr/>
        <w:t>Reporting reads the operational tables directly. There is no data warehouse, no star schema and no extract pipeline, which is appropriate at present volumes and keeps every report current by construction.</w:t>
      </w:r>
    </w:p>
    <w:p>
      <w:pPr>
        <w:pStyle w:val="Normal"/>
        <w:rPr/>
      </w:pPr>
      <w:r>
        <w:rPr/>
        <w:t>Eight reports are produced, each a self-describing document of period, summary figures and typed tabular sections. Their sources are:</w:t>
      </w:r>
    </w:p>
    <w:tbl>
      <w:tblPr>
        <w:tblW w:w="9360" w:type="dxa"/>
        <w:jc w:val="left"/>
        <w:tblInd w:w="0" w:type="dxa"/>
        <w:tblLayout w:type="fixed"/>
        <w:tblCellMar>
          <w:top w:w="80" w:type="dxa"/>
          <w:left w:w="110" w:type="dxa"/>
          <w:bottom w:w="80" w:type="dxa"/>
          <w:right w:w="110" w:type="dxa"/>
        </w:tblCellMar>
      </w:tblPr>
      <w:tblGrid>
        <w:gridCol w:w="2999"/>
        <w:gridCol w:w="6360"/>
      </w:tblGrid>
      <w:tr>
        <w:trPr>
          <w:tblHeader w:val="true"/>
        </w:trPr>
        <w:tc>
          <w:tcPr>
            <w:tcW w:w="29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Report</w:t>
            </w:r>
          </w:p>
        </w:tc>
        <w:tc>
          <w:tcPr>
            <w:tcW w:w="63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Reads from</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Platform overview</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All content tables, users, submissions, activity_log</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Content inventory</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All content tables, by publication and workflow status</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Content growth and trends</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created_at and updated_at across content tables</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Content utilisation</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activity_log</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User engagement</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users, roles, partners, subscribers</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Project portfolio</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projects</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Stakeholder directory</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partners, filtered to published</w:t>
            </w:r>
          </w:p>
        </w:tc>
      </w:tr>
      <w:tr>
        <w:trPr/>
        <w:tc>
          <w:tcPr>
            <w:tcW w:w="29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Opportunities and events</w:t>
            </w:r>
          </w:p>
        </w:tc>
        <w:tc>
          <w:tcPr>
            <w:tcW w:w="63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opportunities, events</w:t>
            </w:r>
          </w:p>
        </w:tc>
      </w:tr>
    </w:tbl>
    <w:p>
      <w:pPr>
        <w:pStyle w:val="Normal"/>
        <w:spacing w:before="0" w:after="200"/>
        <w:rPr/>
      </w:pPr>
      <w:r>
        <w:rPr/>
      </w:r>
    </w:p>
    <w:p>
      <w:pPr>
        <w:pStyle w:val="Normal"/>
        <w:rPr/>
      </w:pPr>
      <w:r>
        <w:rPr/>
        <w:t xml:space="preserve">One limitation must be understood before these reports are used externally. </w:t>
      </w:r>
      <w:r>
        <w:rPr>
          <w:b/>
          <w:bCs/>
        </w:rPr>
        <w:t>The platform records no audience or usage data whatsoever</w:t>
      </w:r>
      <w:r>
        <w:rPr/>
        <w:t xml:space="preserve"> — there is no page-view, search-term, download or referral tracking in the database or the application. The Content Utilisation report is derived from the editorial activity log and therefore measures staff and contributor activity, not public readership. The administrator manual states this explicitly. Consequently the platform cannot presently answer how many people used it, what they read, or what they searched for and failed to find.</w:t>
      </w:r>
    </w:p>
    <w:p>
      <w:pPr>
        <w:pStyle w:val="Heading1"/>
        <w:rPr/>
      </w:pPr>
      <w:r>
        <w:rPr/>
        <w:t>20. Data Architecture Risks</w:t>
      </w:r>
    </w:p>
    <w:tbl>
      <w:tblPr>
        <w:tblW w:w="9360" w:type="dxa"/>
        <w:jc w:val="left"/>
        <w:tblInd w:w="0" w:type="dxa"/>
        <w:tblLayout w:type="fixed"/>
        <w:tblCellMar>
          <w:top w:w="80" w:type="dxa"/>
          <w:left w:w="110" w:type="dxa"/>
          <w:bottom w:w="80" w:type="dxa"/>
          <w:right w:w="110" w:type="dxa"/>
        </w:tblCellMar>
      </w:tblPr>
      <w:tblGrid>
        <w:gridCol w:w="2399"/>
        <w:gridCol w:w="3201"/>
        <w:gridCol w:w="3760"/>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Risk</w:t>
            </w:r>
          </w:p>
        </w:tc>
        <w:tc>
          <w:tcPr>
            <w:tcW w:w="3201"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Assessment</w:t>
            </w:r>
          </w:p>
        </w:tc>
        <w:tc>
          <w:tcPr>
            <w:tcW w:w="37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Consequence if unaddressed</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 soft deletion anywhere</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High. No model uses a soft-delete trait and no table carries deleted_at, contrary to SRS Section 6.1 which forbids hard deletes on core content</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 deletion is permanent and unrecoverable except from a backup. Bulk delete is exposed in the administration interface, so the loss can be large and immediate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 RESTRICT on controlled vocabularies</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High. Taxonomy values are stored on content as text, not as foreign keys, so the SRS Section 6.1 constraint has nothing to attach to</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Renaming or removing a taxonomy term silently orphans the text already written onto records, and filters stop matching</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 audience or usage data</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High for NREP's reporting obligations</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NREP cannot evidence the platform's reach to funders. The reports describe what was published, never what was used</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Backups not configured on the current host</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High, pending confirmation of the production position</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Combined with the absence of soft deletion, a mistaken delete has no recovery path</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Media stored on the application host</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Medium</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Content is coupled to one machine; backup and horizontal scaling are both complicated</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 server-side pagination</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Medium, rising with volume</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Administration lists load whole collections into the browser. FR-15.12 sets 1,000 records as the point at which this must change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Search vectors computed per query</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Medium, rising with volume</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Ranking cost grows with the corpus; a stored vector with a matching index would hold response times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jsonb attributes are not queryable in aggregate</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Medium</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Reporting across a partner's sectors or a project's beneficiary tags requires reading and unpacking every row in the application</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Free-text vocabularies have diverged</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Medium and already realised</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 same value chain appears as Fish in the taxonomy, Aquaculture in the registration wizard and Fisheries in the opportunity data. Filters and any future matching will under-match across the three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 token expiry</w:t>
            </w:r>
          </w:p>
        </w:tc>
        <w:tc>
          <w:tcPr>
            <w:tcW w:w="32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Medium</w:t>
            </w:r>
          </w:p>
        </w:tc>
        <w:tc>
          <w:tcPr>
            <w:tcW w:w="3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An issued bearer token remains valid indefinitely until explicit sign-out, contrary to SRS Section 5</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No consent record or retention routine</w:t>
            </w:r>
          </w:p>
        </w:tc>
        <w:tc>
          <w:tcPr>
            <w:tcW w:w="3201"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Medium, with regulatory exposure</w:t>
            </w:r>
          </w:p>
        </w:tc>
        <w:tc>
          <w:tcPr>
            <w:tcW w:w="37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Obligations under Uganda's Data Protection and Privacy Act, restated in SRS Section 5, are not met</w:t>
            </w:r>
          </w:p>
        </w:tc>
      </w:tr>
    </w:tbl>
    <w:p>
      <w:pPr>
        <w:pStyle w:val="Normal"/>
        <w:spacing w:before="0" w:after="200"/>
        <w:rPr/>
      </w:pPr>
      <w:r>
        <w:rPr/>
      </w:r>
    </w:p>
    <w:p>
      <w:pPr>
        <w:pStyle w:val="Heading1"/>
        <w:rPr/>
      </w:pPr>
      <w:r>
        <w:rPr/>
        <w:t>21. Scalability Considerations</w:t>
      </w:r>
    </w:p>
    <w:p>
      <w:pPr>
        <w:pStyle w:val="Normal"/>
        <w:rPr/>
      </w:pPr>
      <w:r>
        <w:rPr/>
        <w:t>The schema itself scales well: it is normalised where it matters, indexed on the columns actually used for filtering, and free of the wide denormalised tables that become difficult later. Current volumes — 14 projects, 41 opportunities, 158 audit entries — are trivial, so nothing below is urgent, and all of it is bounded work.</w:t>
      </w:r>
    </w:p>
    <w:tbl>
      <w:tblPr>
        <w:tblW w:w="9360" w:type="dxa"/>
        <w:jc w:val="left"/>
        <w:tblInd w:w="0" w:type="dxa"/>
        <w:tblLayout w:type="fixed"/>
        <w:tblCellMar>
          <w:top w:w="80" w:type="dxa"/>
          <w:left w:w="110" w:type="dxa"/>
          <w:bottom w:w="80" w:type="dxa"/>
          <w:right w:w="110" w:type="dxa"/>
        </w:tblCellMar>
      </w:tblPr>
      <w:tblGrid>
        <w:gridCol w:w="2199"/>
        <w:gridCol w:w="2401"/>
        <w:gridCol w:w="4760"/>
      </w:tblGrid>
      <w:tr>
        <w:trPr>
          <w:tblHeader w:val="true"/>
        </w:trPr>
        <w:tc>
          <w:tcPr>
            <w:tcW w:w="21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Pressure point</w:t>
            </w:r>
          </w:p>
        </w:tc>
        <w:tc>
          <w:tcPr>
            <w:tcW w:w="2401"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Threshold</w:t>
            </w:r>
          </w:p>
        </w:tc>
        <w:tc>
          <w:tcPr>
            <w:tcW w:w="47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Response</w:t>
            </w:r>
          </w:p>
        </w:tc>
      </w:tr>
      <w:tr>
        <w:trPr/>
        <w:tc>
          <w:tcPr>
            <w:tcW w:w="2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Administration list loading</w:t>
            </w:r>
          </w:p>
        </w:tc>
        <w:tc>
          <w:tcPr>
            <w:tcW w:w="24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About 1,000 records per entity, per FR-15.12</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Introduce server-side pagination, filtering and sorting in the shared content controller</w:t>
            </w:r>
          </w:p>
        </w:tc>
      </w:tr>
      <w:tr>
        <w:trPr/>
        <w:tc>
          <w:tcPr>
            <w:tcW w:w="2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Search ranking</w:t>
            </w:r>
          </w:p>
        </w:tc>
        <w:tc>
          <w:tcPr>
            <w:tcW w:w="24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Low thousands of records</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Store a search vector per record with a GIN index; the search controller is the only call site affected</w:t>
            </w:r>
          </w:p>
        </w:tc>
      </w:tr>
      <w:tr>
        <w:trPr/>
        <w:tc>
          <w:tcPr>
            <w:tcW w:w="2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Public read traffic</w:t>
            </w:r>
          </w:p>
        </w:tc>
        <w:tc>
          <w:tcPr>
            <w:tcW w:w="24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Sustained concurrent public use</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Every public page view is a live API call. Add HTTP caching for published reads before promotion</w:t>
            </w:r>
          </w:p>
        </w:tc>
      </w:tr>
      <w:tr>
        <w:trPr/>
        <w:tc>
          <w:tcPr>
            <w:tcW w:w="2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Audit table growth</w:t>
            </w:r>
          </w:p>
        </w:tc>
        <w:tc>
          <w:tcPr>
            <w:tcW w:w="24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Continuous and unbounded</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activity_log grows with every action and has no retention policy. Partition or archive before it dominates the database</w:t>
            </w:r>
          </w:p>
        </w:tc>
      </w:tr>
      <w:tr>
        <w:trPr/>
        <w:tc>
          <w:tcPr>
            <w:tcW w:w="2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Media volume</w:t>
            </w:r>
          </w:p>
        </w:tc>
        <w:tc>
          <w:tcPr>
            <w:tcW w:w="240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Continuous</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Move uploads to object storage with a CDN, as SRS Section 11.3 recommends</w:t>
            </w:r>
          </w:p>
        </w:tc>
      </w:tr>
      <w:tr>
        <w:trPr/>
        <w:tc>
          <w:tcPr>
            <w:tcW w:w="21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Geographic expansion</w:t>
            </w:r>
          </w:p>
        </w:tc>
        <w:tc>
          <w:tcPr>
            <w:tcW w:w="2401"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Extension to East Africa</w:t>
            </w:r>
          </w:p>
        </w:tc>
        <w:tc>
          <w:tcPr>
            <w:tcW w:w="47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No re-engineering needed. Geography is stored as free-text region and district plus coordinates, deliberately not bound to Ugandan administrative units; a country dimension would be added to filters</w:t>
            </w:r>
          </w:p>
        </w:tc>
      </w:tr>
    </w:tbl>
    <w:p>
      <w:pPr>
        <w:pStyle w:val="Normal"/>
        <w:spacing w:before="0" w:after="200"/>
        <w:rPr/>
      </w:pPr>
      <w:r>
        <w:rPr/>
      </w:r>
    </w:p>
    <w:p>
      <w:pPr>
        <w:pStyle w:val="Heading1"/>
        <w:rPr/>
      </w:pPr>
      <w:r>
        <w:rPr/>
        <w:t>22. Data Quality</w:t>
      </w:r>
    </w:p>
    <w:p>
      <w:pPr>
        <w:pStyle w:val="Normal"/>
        <w:rPr/>
      </w:pPr>
      <w:r>
        <w:rPr/>
        <w:t>Strengths of the present position:</w:t>
      </w:r>
    </w:p>
    <w:p>
      <w:pPr>
        <w:pStyle w:val="ListParagraph"/>
        <w:numPr>
          <w:ilvl w:val="0"/>
          <w:numId w:val="1"/>
        </w:numPr>
        <w:rPr/>
      </w:pPr>
      <w:r>
        <w:rPr/>
        <w:t>Slugs are unique and stable, so published addresses do not break.</w:t>
      </w:r>
    </w:p>
    <w:p>
      <w:pPr>
        <w:pStyle w:val="ListParagraph"/>
        <w:numPr>
          <w:ilvl w:val="0"/>
          <w:numId w:val="1"/>
        </w:numPr>
        <w:rPr/>
      </w:pPr>
      <w:r>
        <w:rPr/>
        <w:t>Editorial state is explicit on every content record rather than inferred.</w:t>
      </w:r>
    </w:p>
    <w:p>
      <w:pPr>
        <w:pStyle w:val="ListParagraph"/>
        <w:numPr>
          <w:ilvl w:val="0"/>
          <w:numId w:val="1"/>
        </w:numPr>
        <w:rPr/>
      </w:pPr>
      <w:r>
        <w:rPr/>
        <w:t>Authorship survives account deletion.</w:t>
      </w:r>
    </w:p>
    <w:p>
      <w:pPr>
        <w:pStyle w:val="ListParagraph"/>
        <w:numPr>
          <w:ilvl w:val="0"/>
          <w:numId w:val="1"/>
        </w:numPr>
        <w:rPr/>
      </w:pPr>
      <w:r>
        <w:rPr/>
        <w:t>Every editorial transition is recorded, so provenance is recoverable for any published record.</w:t>
      </w:r>
    </w:p>
    <w:p>
      <w:pPr>
        <w:pStyle w:val="Normal"/>
        <w:rPr/>
      </w:pPr>
      <w:r>
        <w:rPr/>
        <w:t>Weaknesses requiring attention:</w:t>
      </w:r>
    </w:p>
    <w:p>
      <w:pPr>
        <w:pStyle w:val="ListParagraph"/>
        <w:numPr>
          <w:ilvl w:val="0"/>
          <w:numId w:val="1"/>
        </w:numPr>
        <w:rPr/>
      </w:pPr>
      <w:r>
        <w:rPr/>
        <w:t>All content is demonstration data and must be replaced before launch.</w:t>
      </w:r>
    </w:p>
    <w:p>
      <w:pPr>
        <w:pStyle w:val="ListParagraph"/>
        <w:numPr>
          <w:ilvl w:val="0"/>
          <w:numId w:val="1"/>
        </w:numPr>
        <w:rPr/>
      </w:pPr>
      <w:r>
        <w:rPr/>
        <w:t>Controlled vocabularies have diverged into three variants for the same concept, and several values in use appear in no vocabulary at all.</w:t>
      </w:r>
    </w:p>
    <w:p>
      <w:pPr>
        <w:pStyle w:val="ListParagraph"/>
        <w:numPr>
          <w:ilvl w:val="0"/>
          <w:numId w:val="1"/>
        </w:numPr>
        <w:rPr/>
      </w:pPr>
      <w:r>
        <w:rPr/>
        <w:t>Partner profile completeness is poor: of ten partner records, only one carries sectors, value chains, coverage scope or expertise, because the remainder predate the structured registration wizard.</w:t>
      </w:r>
    </w:p>
    <w:p>
      <w:pPr>
        <w:pStyle w:val="ListParagraph"/>
        <w:numPr>
          <w:ilvl w:val="0"/>
          <w:numId w:val="1"/>
        </w:numPr>
        <w:rPr/>
      </w:pPr>
      <w:r>
        <w:rPr/>
        <w:t>The sector field on opportunities holds technology names rather than sectors, and at least one row holds an opportunity type.</w:t>
      </w:r>
    </w:p>
    <w:p>
      <w:pPr>
        <w:pStyle w:val="ListParagraph"/>
        <w:numPr>
          <w:ilvl w:val="0"/>
          <w:numId w:val="1"/>
        </w:numPr>
        <w:rPr/>
      </w:pPr>
      <w:r>
        <w:rPr/>
        <w:t>There is no duplicate detection on any content type.</w:t>
      </w:r>
    </w:p>
    <w:p>
      <w:pPr>
        <w:pStyle w:val="Heading1"/>
        <w:rPr/>
      </w:pPr>
      <w:r>
        <w:rPr/>
        <w:t>23. Recommendations</w:t>
      </w:r>
    </w:p>
    <w:p>
      <w:pPr>
        <w:pStyle w:val="Heading2"/>
        <w:rPr/>
      </w:pPr>
      <w:r>
        <w:rPr/>
        <w:t>23.1 Before public launch</w:t>
      </w:r>
    </w:p>
    <w:p>
      <w:pPr>
        <w:pStyle w:val="ListParagraph"/>
        <w:numPr>
          <w:ilvl w:val="0"/>
          <w:numId w:val="1"/>
        </w:numPr>
        <w:rPr/>
      </w:pPr>
      <w:r>
        <w:rPr/>
        <w:t>Configure and verify database and media backups by performing a timed restore into a clean host, and record the measured recovery time.</w:t>
      </w:r>
    </w:p>
    <w:p>
      <w:pPr>
        <w:pStyle w:val="ListParagraph"/>
        <w:numPr>
          <w:ilvl w:val="0"/>
          <w:numId w:val="1"/>
        </w:numPr>
        <w:rPr/>
      </w:pPr>
      <w:r>
        <w:rPr/>
        <w:t>Replace all demonstration content with NREP-validated records.</w:t>
      </w:r>
    </w:p>
    <w:p>
      <w:pPr>
        <w:pStyle w:val="ListParagraph"/>
        <w:numPr>
          <w:ilvl w:val="0"/>
          <w:numId w:val="1"/>
        </w:numPr>
        <w:rPr/>
      </w:pPr>
      <w:r>
        <w:rPr/>
        <w:t>Publish a privacy notice and define retention periods for registration data, public submissions and newsletter subscriptions.</w:t>
      </w:r>
    </w:p>
    <w:p>
      <w:pPr>
        <w:pStyle w:val="ListParagraph"/>
        <w:numPr>
          <w:ilvl w:val="0"/>
          <w:numId w:val="1"/>
        </w:numPr>
        <w:rPr/>
      </w:pPr>
      <w:r>
        <w:rPr/>
        <w:t>Decide, and record, whether the unimplemented SRS Section 6.1 constraints — soft deletion and taxonomy RESTRICT — are to be implemented or formally waived.</w:t>
      </w:r>
    </w:p>
    <w:p>
      <w:pPr>
        <w:pStyle w:val="Heading2"/>
        <w:rPr/>
      </w:pPr>
      <w:r>
        <w:rPr/>
        <w:t>23.2 Short term</w:t>
      </w:r>
    </w:p>
    <w:p>
      <w:pPr>
        <w:pStyle w:val="ListParagraph"/>
        <w:numPr>
          <w:ilvl w:val="0"/>
          <w:numId w:val="1"/>
        </w:numPr>
        <w:rPr/>
      </w:pPr>
      <w:r>
        <w:rPr/>
        <w:t>Implement soft deletion on the four core content types named in SRS Section 6.1, and route the administration delete action through it. This is the single highest-value data-integrity change available, and it is small.</w:t>
      </w:r>
    </w:p>
    <w:p>
      <w:pPr>
        <w:pStyle w:val="ListParagraph"/>
        <w:numPr>
          <w:ilvl w:val="0"/>
          <w:numId w:val="1"/>
        </w:numPr>
        <w:rPr/>
      </w:pPr>
      <w:r>
        <w:rPr/>
        <w:t>Reconcile the three divergent value-chain vocabularies into one, backfill existing records, and replace the free-text sector field with a controlled list.</w:t>
      </w:r>
    </w:p>
    <w:p>
      <w:pPr>
        <w:pStyle w:val="ListParagraph"/>
        <w:numPr>
          <w:ilvl w:val="0"/>
          <w:numId w:val="1"/>
        </w:numPr>
        <w:rPr/>
      </w:pPr>
      <w:r>
        <w:rPr/>
        <w:t>Build the taxonomy and site-configuration administration screens. Both API endpoints already exist and are unused, so this is interface work only.</w:t>
      </w:r>
    </w:p>
    <w:p>
      <w:pPr>
        <w:pStyle w:val="ListParagraph"/>
        <w:numPr>
          <w:ilvl w:val="0"/>
          <w:numId w:val="1"/>
        </w:numPr>
        <w:rPr/>
      </w:pPr>
      <w:r>
        <w:rPr/>
        <w:t>Add the coordinate bounds validation required by FR-10.8.</w:t>
      </w:r>
    </w:p>
    <w:p>
      <w:pPr>
        <w:pStyle w:val="Heading2"/>
        <w:rPr/>
      </w:pPr>
      <w:r>
        <w:rPr/>
        <w:t>23.3 Medium term</w:t>
      </w:r>
    </w:p>
    <w:p>
      <w:pPr>
        <w:pStyle w:val="ListParagraph"/>
        <w:numPr>
          <w:ilvl w:val="0"/>
          <w:numId w:val="1"/>
        </w:numPr>
        <w:rPr/>
      </w:pPr>
      <w:r>
        <w:rPr/>
        <w:t>Introduce server-side pagination and filtering ahead of the 1,000-record threshold in FR-15.12.</w:t>
      </w:r>
    </w:p>
    <w:p>
      <w:pPr>
        <w:pStyle w:val="ListParagraph"/>
        <w:numPr>
          <w:ilvl w:val="0"/>
          <w:numId w:val="1"/>
        </w:numPr>
        <w:rPr/>
      </w:pPr>
      <w:r>
        <w:rPr/>
        <w:t>Materialise search vectors with a GIN index.</w:t>
      </w:r>
    </w:p>
    <w:p>
      <w:pPr>
        <w:pStyle w:val="ListParagraph"/>
        <w:numPr>
          <w:ilvl w:val="0"/>
          <w:numId w:val="1"/>
        </w:numPr>
        <w:rPr/>
      </w:pPr>
      <w:r>
        <w:rPr/>
        <w:t>Move media to object storage with CDN delivery.</w:t>
      </w:r>
    </w:p>
    <w:p>
      <w:pPr>
        <w:pStyle w:val="ListParagraph"/>
        <w:numPr>
          <w:ilvl w:val="0"/>
          <w:numId w:val="1"/>
        </w:numPr>
        <w:rPr/>
      </w:pPr>
      <w:r>
        <w:rPr/>
        <w:t>Introduce usage measurement, so that the reporting module can describe demand as well as inventory.</w:t>
      </w:r>
    </w:p>
    <w:p>
      <w:pPr>
        <w:pStyle w:val="ListParagraph"/>
        <w:numPr>
          <w:ilvl w:val="0"/>
          <w:numId w:val="1"/>
        </w:numPr>
        <w:rPr/>
      </w:pPr>
      <w:r>
        <w:rPr/>
        <w:t>Define a retention and archival policy for activity_log before its growth becomes the dominant cost in the database.</w:t>
      </w:r>
    </w:p>
    <w:p>
      <w:pPr>
        <w:pStyle w:val="Heading1"/>
        <w:rPr/>
      </w:pPr>
      <w:r>
        <w:rPr/>
        <w:t>24. Source Notes</w:t>
      </w:r>
    </w:p>
    <w:p>
      <w:pPr>
        <w:pStyle w:val="Normal"/>
        <w:rPr/>
      </w:pPr>
      <w:r>
        <w:rPr/>
        <w:t>Compiled on 29 September 2026 by direct inspection of:</w:t>
      </w:r>
    </w:p>
    <w:p>
      <w:pPr>
        <w:pStyle w:val="ListParagraph"/>
        <w:numPr>
          <w:ilvl w:val="0"/>
          <w:numId w:val="1"/>
        </w:numPr>
        <w:rPr/>
      </w:pPr>
      <w:r>
        <w:rPr/>
        <w:t>The live PostgreSQL database — information_schema and pg_catalog queried for tables, columns, keys, delete rules, indexes and installed extensions; row counts taken per table.</w:t>
      </w:r>
    </w:p>
    <w:p>
      <w:pPr>
        <w:pStyle w:val="ListParagraph"/>
        <w:numPr>
          <w:ilvl w:val="0"/>
          <w:numId w:val="1"/>
        </w:numPr>
        <w:rPr/>
      </w:pPr>
      <w:r>
        <w:rPr/>
        <w:t>The 34 migration files in api/database/migrations.</w:t>
      </w:r>
    </w:p>
    <w:p>
      <w:pPr>
        <w:pStyle w:val="ListParagraph"/>
        <w:numPr>
          <w:ilvl w:val="0"/>
          <w:numId w:val="1"/>
        </w:numPr>
        <w:rPr/>
      </w:pPr>
      <w:r>
        <w:rPr/>
        <w:t>The Eloquent models, controllers, resource transformers, policies and the Publishable concern in api/app.</w:t>
      </w:r>
    </w:p>
    <w:p>
      <w:pPr>
        <w:pStyle w:val="ListParagraph"/>
        <w:numPr>
          <w:ilvl w:val="0"/>
          <w:numId w:val="1"/>
        </w:numPr>
        <w:rPr/>
      </w:pPr>
      <w:r>
        <w:rPr/>
        <w:t>Software Requirements Specification Version 2.0, Sections 6, 6.1 and 5, as the requirements baseline.</w:t>
      </w:r>
    </w:p>
    <w:p>
      <w:pPr>
        <w:pStyle w:val="Normal"/>
        <w:widowControl/>
        <w:bidi w:val="0"/>
        <w:spacing w:lineRule="exact" w:line="276" w:before="0" w:after="120"/>
        <w:jc w:val="left"/>
        <w:rPr/>
      </w:pPr>
      <w:r>
        <w:rPr/>
        <w:t>All counts are as at that date and will change as the platform develops. Where a position could not be confirmed from the system — notably whether backups are configured in NREP's production environment — it is flagged as requiring confirmation rather than asserted.</w:t>
      </w:r>
    </w:p>
    <w:sectPr>
      <w:headerReference w:type="default" r:id="rId2"/>
      <w:headerReference w:type="first" r:id="rId3"/>
      <w:footerReference w:type="default" r:id="rId4"/>
      <w:footerReference w:type="first" r:id="rId5"/>
      <w:type w:val="nextPage"/>
      <w:pgSz w:w="11906" w:h="16838"/>
      <w:pgMar w:left="1250" w:right="1250" w:gutter="0" w:header="708" w:top="1250" w:footer="708" w:bottom="1250"/>
      <w:pgNumType w:fmt="decimal"/>
      <w:formProt w:val="false"/>
      <w:titlePg/>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8D6CE"/>
      </w:pBdr>
      <w:tabs>
        <w:tab w:val="clear" w:pos="720"/>
        <w:tab w:val="right" w:pos="9360" w:leader="none"/>
      </w:tabs>
      <w:spacing w:before="0" w:after="120"/>
      <w:rPr/>
    </w:pPr>
    <w:r>
      <w:rPr>
        <w:color w:val="5A5A5A"/>
        <w:sz w:val="16"/>
        <w:szCs w:val="16"/>
      </w:rPr>
      <w:t>AED-02  ·  Version 1.0  ·  Prepared for NREP</w:t>
      <w:tab/>
      <w:t xml:space="preserve">Page </w:t>
    </w:r>
    <w:r>
      <w:rPr/>
      <w:fldChar w:fldCharType="begin"/>
    </w:r>
    <w:r>
      <w:rPr/>
      <w:instrText xml:space="preserve"> PAGE </w:instrText>
    </w:r>
    <w:r>
      <w:rPr/>
      <w:fldChar w:fldCharType="separate"/>
    </w:r>
    <w:r>
      <w:rPr/>
      <w:t>19</w:t>
    </w:r>
    <w:r>
      <w:rPr/>
      <w:fldChar w:fldCharType="end"/>
    </w:r>
    <w:r>
      <w:rPr>
        <w:color w:val="5A5A5A"/>
        <w:sz w:val="16"/>
        <w:szCs w:val="16"/>
      </w:rPr>
      <w:t xml:space="preserve"> of </w:t>
    </w:r>
    <w:r>
      <w:rPr/>
      <w:fldChar w:fldCharType="begin"/>
    </w:r>
    <w:r>
      <w:rPr/>
      <w:instrText xml:space="preserve"> NUMPAGES </w:instrText>
    </w:r>
    <w:r>
      <w:rPr/>
      <w:fldChar w:fldCharType="separate"/>
    </w:r>
    <w:r>
      <w:rPr/>
      <w:t>19</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exact" w:line="276" w:before="0" w:after="12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C8D6CE"/>
      </w:pBdr>
      <w:tabs>
        <w:tab w:val="clear" w:pos="720"/>
        <w:tab w:val="right" w:pos="9360" w:leader="none"/>
      </w:tabs>
      <w:spacing w:before="0" w:after="0"/>
      <w:rPr/>
    </w:pPr>
    <w:r>
      <w:rPr>
        <w:color w:val="5A5A5A"/>
        <w:sz w:val="17"/>
        <w:szCs w:val="17"/>
      </w:rPr>
      <w:t>Agri-Energy Desk Digital Platform</w:t>
    </w:r>
    <w:r>
      <w:rPr>
        <w:b/>
        <w:bCs/>
        <w:color w:val="1B6B45"/>
        <w:sz w:val="17"/>
        <w:szCs w:val="17"/>
      </w:rPr>
      <w:tab/>
      <w:t>Data Architecture</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exact" w:line="276" w:before="0" w:after="12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40"/>
      </w:pPr>
      <w:rPr>
        <w:rFonts w:ascii="Symbol" w:hAnsi="Symbol" w:cs="Symbol" w:hint="default"/>
      </w:rPr>
    </w:lvl>
    <w:lvl w:ilvl="1">
      <w:start w:val="1"/>
      <w:numFmt w:val="bullet"/>
      <w:lvlText w:val=""/>
      <w:lvlJc w:val="left"/>
      <w:pPr>
        <w:tabs>
          <w:tab w:val="num" w:pos="0"/>
        </w:tabs>
        <w:ind w:left="900" w:hanging="24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default="1">
    <w:name w:val="Normal"/>
    <w:qFormat/>
    <w:pPr>
      <w:widowControl/>
      <w:bidi w:val="0"/>
      <w:spacing w:lineRule="exact" w:line="276" w:before="0" w:after="120"/>
      <w:jc w:val="left"/>
    </w:pPr>
    <w:rPr>
      <w:rFonts w:ascii="Calibri" w:hAnsi="Calibri" w:eastAsia="Calibri" w:cs="Calibri"/>
      <w:color w:val="1A1A1A"/>
      <w:kern w:val="0"/>
      <w:sz w:val="21"/>
      <w:szCs w:val="21"/>
      <w:lang w:val="en-US" w:eastAsia="zh-CN" w:bidi="hi-IN"/>
    </w:rPr>
  </w:style>
  <w:style w:type="paragraph" w:styleId="Heading1">
    <w:name w:val="Heading 1"/>
    <w:basedOn w:val="Normal"/>
    <w:next w:val="Normal"/>
    <w:qFormat/>
    <w:pPr>
      <w:pBdr>
        <w:bottom w:val="single" w:sz="6" w:space="6" w:color="C8D6CE"/>
      </w:pBdr>
      <w:spacing w:before="360" w:after="160"/>
      <w:outlineLvl w:val="0"/>
    </w:pPr>
    <w:rPr>
      <w:rFonts w:ascii="Calibri" w:hAnsi="Calibri" w:eastAsia="Calibri" w:cs="Calibri"/>
      <w:b/>
      <w:bCs/>
      <w:color w:val="1B6B45"/>
      <w:sz w:val="30"/>
      <w:szCs w:val="30"/>
    </w:rPr>
  </w:style>
  <w:style w:type="paragraph" w:styleId="Heading2">
    <w:name w:val="Heading 2"/>
    <w:basedOn w:val="Normal"/>
    <w:next w:val="Normal"/>
    <w:qFormat/>
    <w:pPr>
      <w:spacing w:before="280" w:after="120"/>
      <w:outlineLvl w:val="1"/>
    </w:pPr>
    <w:rPr>
      <w:rFonts w:ascii="Calibri" w:hAnsi="Calibri" w:eastAsia="Calibri" w:cs="Calibri"/>
      <w:b/>
      <w:bCs/>
      <w:color w:val="1A1A1A"/>
      <w:sz w:val="25"/>
      <w:szCs w:val="25"/>
    </w:rPr>
  </w:style>
  <w:style w:type="paragraph" w:styleId="Heading3">
    <w:name w:val="Heading 3"/>
    <w:basedOn w:val="Normal"/>
    <w:next w:val="Normal"/>
    <w:qFormat/>
    <w:pPr>
      <w:spacing w:before="220" w:after="100"/>
      <w:outlineLvl w:val="2"/>
    </w:pPr>
    <w:rPr>
      <w:rFonts w:ascii="Calibri" w:hAnsi="Calibri" w:eastAsia="Calibri" w:cs="Calibri"/>
      <w:b/>
      <w:bCs/>
      <w:color w:val="1B6B45"/>
      <w:sz w:val="22"/>
      <w:szCs w:val="22"/>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next w:val="Normal"/>
    <w:qFormat/>
    <w:pPr>
      <w:spacing w:before="60" w:after="240"/>
      <w:jc w:val="center"/>
    </w:pPr>
    <w:rPr>
      <w:rFonts w:ascii="Calibri" w:hAnsi="Calibri" w:eastAsia="Calibri" w:cs="Calibri"/>
      <w:i/>
      <w:iCs/>
      <w:color w:val="5A5A5A"/>
      <w:sz w:val="18"/>
      <w:szCs w:val="18"/>
    </w:rPr>
  </w:style>
  <w:style w:type="paragraph" w:styleId="Index">
    <w:name w:val="Index"/>
    <w:basedOn w:val="Normal"/>
    <w:qFormat/>
    <w:pPr>
      <w:suppressLineNumbers/>
    </w:pPr>
    <w:rPr>
      <w:rFonts w:cs="Lohit Devanagari"/>
    </w:rPr>
  </w:style>
  <w:style w:type="paragraph" w:styleId="Strong">
    <w:name w:val="Strong"/>
    <w:basedOn w:val="Normal"/>
    <w:next w:val="Normal"/>
    <w:qFormat/>
    <w:pPr/>
    <w:rPr>
      <w:b/>
      <w:bCs/>
    </w:rPr>
  </w:style>
  <w:style w:type="paragraph" w:styleId="ListParagraph">
    <w:name w:val="List Paragraph"/>
    <w:basedOn w:val="Normal"/>
    <w:qFormat/>
    <w:pPr/>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next w:val="Normal"/>
    <w:qFormat/>
    <w:pPr>
      <w:spacing w:lineRule="exact" w:line="640" w:before="0" w:after="160"/>
    </w:pPr>
    <w:rPr>
      <w:rFonts w:ascii="Calibri" w:hAnsi="Calibri" w:eastAsia="Calibri" w:cs="Calibri"/>
      <w:b/>
      <w:bCs/>
      <w:color w:val="1B6B45"/>
      <w:sz w:val="56"/>
      <w:szCs w:val="56"/>
    </w:rPr>
  </w:style>
  <w:style w:type="paragraph" w:styleId="Subtitle">
    <w:name w:val="Subtitle"/>
    <w:basedOn w:val="Normal"/>
    <w:next w:val="Normal"/>
    <w:qFormat/>
    <w:pPr>
      <w:spacing w:before="0" w:after="400"/>
    </w:pPr>
    <w:rPr>
      <w:rFonts w:ascii="Calibri" w:hAnsi="Calibri" w:eastAsia="Calibri" w:cs="Calibri"/>
      <w:color w:val="5A5A5A"/>
      <w:sz w:val="26"/>
      <w:szCs w:val="26"/>
    </w:rPr>
  </w:style>
  <w:style w:type="paragraph" w:styleId="TableText">
    <w:name w:val="Table Text"/>
    <w:basedOn w:val="Normal"/>
    <w:next w:val="Normal"/>
    <w:qFormat/>
    <w:pPr>
      <w:spacing w:lineRule="exact" w:line="240" w:before="40" w:after="40"/>
    </w:pPr>
    <w:rPr>
      <w:rFonts w:ascii="Calibri" w:hAnsi="Calibri" w:eastAsia="Calibri" w:cs="Calibri"/>
      <w:sz w:val="19"/>
      <w:szCs w:val="19"/>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19</Pages>
  <Words>5190</Words>
  <Characters>31261</Characters>
  <CharactersWithSpaces>36744</CharactersWithSpaces>
  <Paragraphs>573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2026-09-29T11:37:05Z</dcterms:created>
  <dc:creator>Agri-Energy Desk Consultancy</dc:creator>
  <dc:description>The implemented data architecture of the Agri-Energy Desk Digital Platform, verified against the running system</dc:description>
  <dc:language>en-US</dc:language>
  <cp:lastModifiedBy/>
  <dcterms:modified xsi:type="dcterms:W3CDTF">2026-09-29T14:42:29Z</dcterms:modified>
  <cp:revision>3</cp:revision>
  <dc:subject/>
  <dc:title>Agri-Energy Desk Data Architecture</dc:title>
</cp:coreProperties>
</file>