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b/>
          <w:bCs/>
          <w:color w:val="1B6B45"/>
          <w:spacing w:val="40"/>
          <w:sz w:val="20"/>
          <w:szCs w:val="20"/>
        </w:rPr>
        <w:t>NATIONAL RENEWABLE ENERGY PLATFORM</w:t>
      </w:r>
    </w:p>
    <w:p>
      <w:pPr>
        <w:pStyle w:val="Normal"/>
        <w:pBdr>
          <w:bottom w:val="single" w:sz="12" w:space="10" w:color="1B6B45"/>
        </w:pBdr>
        <w:spacing w:before="0" w:after="320"/>
        <w:rPr/>
      </w:pPr>
      <w:r>
        <w:rPr>
          <w:color w:val="5A5A5A"/>
          <w:sz w:val="24"/>
          <w:szCs w:val="24"/>
        </w:rPr>
        <w:t>Agri-Energy Desk Digital Platform</w:t>
      </w:r>
    </w:p>
    <w:p>
      <w:pPr>
        <w:pStyle w:val="Title"/>
        <w:rPr/>
      </w:pPr>
      <w:r>
        <w:rPr/>
        <w:t>Final Consultancy Report</w:t>
      </w:r>
    </w:p>
    <w:p>
      <w:pPr>
        <w:pStyle w:val="Subtitle"/>
        <w:rPr/>
      </w:pPr>
      <w:r>
        <w:rPr/>
        <w:t>An account of the consultancy engagement and the delivered Agri-Energy Desk Digital Platform</w:t>
      </w:r>
    </w:p>
    <w:tbl>
      <w:tblPr>
        <w:tblW w:w="9360" w:type="dxa"/>
        <w:jc w:val="left"/>
        <w:tblInd w:w="0" w:type="dxa"/>
        <w:tblLayout w:type="fixed"/>
        <w:tblCellMar>
          <w:top w:w="80" w:type="dxa"/>
          <w:left w:w="110" w:type="dxa"/>
          <w:bottom w:w="80" w:type="dxa"/>
          <w:right w:w="110" w:type="dxa"/>
        </w:tblCellMar>
      </w:tblPr>
      <w:tblGrid>
        <w:gridCol w:w="2899"/>
        <w:gridCol w:w="6460"/>
      </w:tblGrid>
      <w:tr>
        <w:trPr>
          <w:tblHeader w:val="true"/>
        </w:trPr>
        <w:tc>
          <w:tcPr>
            <w:tcW w:w="2899"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Field</w:t>
            </w:r>
          </w:p>
        </w:tc>
        <w:tc>
          <w:tcPr>
            <w:tcW w:w="6460"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Detail</w:t>
            </w:r>
          </w:p>
        </w:tc>
      </w:tr>
      <w:tr>
        <w:trPr/>
        <w:tc>
          <w:tcPr>
            <w:tcW w:w="28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Document</w:t>
            </w:r>
          </w:p>
        </w:tc>
        <w:tc>
          <w:tcPr>
            <w:tcW w:w="6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Final Consultancy Report</w:t>
            </w:r>
          </w:p>
        </w:tc>
      </w:tr>
      <w:tr>
        <w:trPr/>
        <w:tc>
          <w:tcPr>
            <w:tcW w:w="28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Document number</w:t>
            </w:r>
          </w:p>
        </w:tc>
        <w:tc>
          <w:tcPr>
            <w:tcW w:w="6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AED-04</w:t>
            </w:r>
          </w:p>
        </w:tc>
      </w:tr>
      <w:tr>
        <w:trPr/>
        <w:tc>
          <w:tcPr>
            <w:tcW w:w="28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Version</w:t>
            </w:r>
          </w:p>
        </w:tc>
        <w:tc>
          <w:tcPr>
            <w:tcW w:w="6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1.0</w:t>
            </w:r>
          </w:p>
        </w:tc>
      </w:tr>
      <w:tr>
        <w:trPr/>
        <w:tc>
          <w:tcPr>
            <w:tcW w:w="28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Date</w:t>
            </w:r>
          </w:p>
        </w:tc>
        <w:tc>
          <w:tcPr>
            <w:tcW w:w="6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29 September 2026</w:t>
            </w:r>
          </w:p>
        </w:tc>
      </w:tr>
      <w:tr>
        <w:trPr/>
        <w:tc>
          <w:tcPr>
            <w:tcW w:w="28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Status</w:t>
            </w:r>
          </w:p>
        </w:tc>
        <w:tc>
          <w:tcPr>
            <w:tcW w:w="6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For submission to NREP</w:t>
            </w:r>
          </w:p>
        </w:tc>
      </w:tr>
      <w:tr>
        <w:trPr/>
        <w:tc>
          <w:tcPr>
            <w:tcW w:w="28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Platform</w:t>
            </w:r>
          </w:p>
        </w:tc>
        <w:tc>
          <w:tcPr>
            <w:tcW w:w="6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Agri-Energy Desk Digital Platform</w:t>
            </w:r>
          </w:p>
        </w:tc>
      </w:tr>
      <w:tr>
        <w:trPr/>
        <w:tc>
          <w:tcPr>
            <w:tcW w:w="28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Prepared for</w:t>
            </w:r>
          </w:p>
        </w:tc>
        <w:tc>
          <w:tcPr>
            <w:tcW w:w="6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National Renewable Energy Platform (NREP)</w:t>
            </w:r>
          </w:p>
        </w:tc>
      </w:tr>
      <w:tr>
        <w:trPr/>
        <w:tc>
          <w:tcPr>
            <w:tcW w:w="2899"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Requirements baseline</w:t>
            </w:r>
          </w:p>
        </w:tc>
        <w:tc>
          <w:tcPr>
            <w:tcW w:w="6460"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Software Requirements Specification (SRS) Version 2.0</w:t>
            </w:r>
          </w:p>
        </w:tc>
      </w:tr>
    </w:tbl>
    <w:p>
      <w:pPr>
        <w:pStyle w:val="Normal"/>
        <w:rPr/>
      </w:pPr>
      <w:r>
        <w:rPr/>
      </w:r>
      <w:r>
        <w:br w:type="page"/>
      </w:r>
    </w:p>
    <w:p>
      <w:pPr>
        <w:pStyle w:val="Heading1"/>
        <w:rPr/>
      </w:pPr>
      <w:r>
        <w:rPr/>
        <w:t>Table of Contents</w:t>
      </w:r>
    </w:p>
    <w:p>
      <w:pPr>
        <w:pStyle w:val="Normal"/>
        <w:rPr/>
      </w:pPr>
      <w:r>
        <w:rPr>
          <w:i/>
          <w:iCs/>
          <w:color w:val="5A5A5A"/>
        </w:rPr>
        <w:t>This table of contents is a field. In Microsoft Word, press Ctrl+A then F9 (or right-click and choose "Update Field") to populate or refresh it.</w:t>
      </w:r>
    </w:p>
    <w:p>
      <w:pPr>
        <w:pStyle w:val="Normal"/>
        <w:rPr/>
      </w:pPr>
      <w:r>
        <w:fldChar w:fldCharType="begin"/>
      </w:r>
      <w:r>
        <w:rPr/>
      </w:r>
      <w:r>
        <w:rPr/>
      </w:r>
      <w:r>
        <w:rPr/>
        <w:fldChar w:fldCharType="separate"/>
      </w:r>
      <w:r>
        <w:rPr/>
      </w:r>
      <w:sdt>
        <w:sdtPr>
          <w:alias w:val="Contents"/>
        </w:sdtPr>
        <w:sdtContent>
          <w:r>
            <w:rPr/>
            <w:t>TOC \h \o "1-3"</w:t>
          </w:r>
        </w:sdtContent>
      </w:sdt>
    </w:p>
    <w:p>
      <w:pPr>
        <w:pStyle w:val="Normal"/>
        <w:rPr/>
      </w:pPr>
      <w:r>
        <w:rPr/>
      </w:r>
      <w:r>
        <w:rPr/>
        <w:fldChar w:fldCharType="end"/>
      </w:r>
    </w:p>
    <w:p>
      <w:pPr>
        <w:pStyle w:val="Normal"/>
        <w:rPr/>
      </w:pPr>
      <w:r>
        <w:rPr/>
      </w:r>
      <w:r>
        <w:br w:type="page"/>
      </w:r>
    </w:p>
    <w:p>
      <w:pPr>
        <w:pStyle w:val="Heading1"/>
        <w:rPr/>
      </w:pPr>
      <w:r>
        <w:rPr/>
        <w:t>1. Executive Summary</w:t>
      </w:r>
    </w:p>
    <w:p>
      <w:pPr>
        <w:pStyle w:val="Normal"/>
        <w:rPr/>
      </w:pPr>
      <w:r>
        <w:rPr/>
        <w:t>This report concludes the consultancy for the design, development, deployment and technical support of the Agri-Energy Desk Digital Platform, commissioned by the National Renewable Energy Platform (NREP).</w:t>
      </w:r>
    </w:p>
    <w:p>
      <w:pPr>
        <w:pStyle w:val="Normal"/>
        <w:rPr/>
      </w:pPr>
      <w:r>
        <w:rPr/>
        <w:t>A national digital knowledge management and collaboration platform has been delivered. It comprises a public knowledge site covering projects, technologies, thematic areas, the partner ecosystem, resources, events, opportunities, tenders and vacancies, news, a geographic map, open data and cross-module search; an administration portal with content management, an editorial review queue, user and role management, an enquiry inbox, newsletter administration, an audit trail and an eight-report analytics module; and a partner self-service portal supporting organisation and individual registration, team management, content submission and notifications.</w:t>
      </w:r>
    </w:p>
    <w:p>
      <w:pPr>
        <w:pStyle w:val="Normal"/>
        <w:rPr/>
      </w:pPr>
      <w:r>
        <w:rPr/>
        <w:t>Against the approved Software Requirements Specification Version 2.0, 71 of the 78 numbered functional requirements are fully implemented and verifiable in the running system, 4 are partially implemented, 3 remain outstanding, and 1 was deliberately changed after approval at NREP's direction. Twelve enhancements were delivered beyond the baseline, six of which close recommendations that the SRS itself raised.</w:t>
      </w:r>
    </w:p>
    <w:p>
      <w:pPr>
        <w:pStyle w:val="Normal"/>
        <w:rPr/>
      </w:pPr>
      <w:r>
        <w:rPr/>
        <w:t>The platform is technically complete for its phase and is running in the User Acceptance Testing environment. It is not yet ready for public launch, and this report does not claim that it is. Four conditions must be met first: the demonstration content must be replaced with NREP-validated records; an SMTP relay must be configured, without which no email the platform generates reaches anyone; backups must be configured and a restore rehearsed; and NREP must decide whether the security controls specified in SRS Section 5 but not implemented — multi-factor authentication, token expiry and soft deletion — are to be built or formally waived.</w:t>
      </w:r>
    </w:p>
    <w:p>
      <w:pPr>
        <w:pStyle w:val="Normal"/>
        <w:rPr/>
      </w:pPr>
      <w:r>
        <w:rPr/>
        <w:t>These are bounded pieces of work, and Section 22 sets out a roadmap for them. The platform's foundations are sound and extend cleanly to the phase-two components the SRS anticipates.</w:t>
      </w:r>
    </w:p>
    <w:p>
      <w:pPr>
        <w:pStyle w:val="Heading1"/>
        <w:rPr/>
      </w:pPr>
      <w:r>
        <w:rPr/>
        <w:t>2. Background</w:t>
      </w:r>
    </w:p>
    <w:p>
      <w:pPr>
        <w:pStyle w:val="Normal"/>
        <w:rPr/>
      </w:pPr>
      <w:r>
        <w:rPr/>
        <w:t>NREP is implementing interventions aimed at accelerating the productive use of renewable energy within Uganda's agricultural sector through improved coordination, knowledge generation, stakeholder collaboration, evidence generation and market systems development.</w:t>
      </w:r>
    </w:p>
    <w:p>
      <w:pPr>
        <w:pStyle w:val="Normal"/>
        <w:rPr/>
      </w:pPr>
      <w:r>
        <w:rPr/>
        <w:t>The Terms of Reference recorded that information relating to agri-energy initiatives remains dispersed across multiple institutions, producing fragmented knowledge, duplication of interventions, limited visibility of ongoing projects and weak collaboration among sector actors. Stakeholders could not reliably find information on technologies, financing, research, policy, service providers or implementation experience, and this constrained evidence-based planning, coordinated implementation and the scaling of innovation.</w:t>
      </w:r>
    </w:p>
    <w:p>
      <w:pPr>
        <w:pStyle w:val="Normal"/>
        <w:rPr/>
      </w:pPr>
      <w:r>
        <w:rPr/>
        <w:t>The Agri-Energy Desk was commissioned to address that: a central gateway for information, evidence, partnerships and learning, and a strategic coordination mechanism for the sector.</w:t>
      </w:r>
    </w:p>
    <w:p>
      <w:pPr>
        <w:pStyle w:val="Heading1"/>
        <w:rPr/>
      </w:pPr>
      <w:r>
        <w:rPr/>
        <w:t>3. Project Context</w:t>
      </w:r>
    </w:p>
    <w:tbl>
      <w:tblPr>
        <w:tblW w:w="9360" w:type="dxa"/>
        <w:jc w:val="left"/>
        <w:tblInd w:w="0" w:type="dxa"/>
        <w:tblLayout w:type="fixed"/>
        <w:tblCellMar>
          <w:top w:w="80" w:type="dxa"/>
          <w:left w:w="110" w:type="dxa"/>
          <w:bottom w:w="80" w:type="dxa"/>
          <w:right w:w="110" w:type="dxa"/>
        </w:tblCellMar>
      </w:tblPr>
      <w:tblGrid>
        <w:gridCol w:w="2999"/>
        <w:gridCol w:w="6360"/>
      </w:tblGrid>
      <w:tr>
        <w:trPr>
          <w:tblHeader w:val="true"/>
        </w:trPr>
        <w:tc>
          <w:tcPr>
            <w:tcW w:w="2999"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Aspect</w:t>
            </w:r>
          </w:p>
        </w:tc>
        <w:tc>
          <w:tcPr>
            <w:tcW w:w="6360"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Detail</w:t>
            </w:r>
          </w:p>
        </w:tc>
      </w:tr>
      <w:tr>
        <w:trPr/>
        <w:tc>
          <w:tcPr>
            <w:tcW w:w="29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Commissioning body</w:t>
            </w:r>
          </w:p>
        </w:tc>
        <w:tc>
          <w:tcPr>
            <w:tcW w:w="63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National Renewable Energy Platform (NREP)</w:t>
            </w:r>
          </w:p>
        </w:tc>
      </w:tr>
      <w:tr>
        <w:trPr/>
        <w:tc>
          <w:tcPr>
            <w:tcW w:w="29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Platform</w:t>
            </w:r>
          </w:p>
        </w:tc>
        <w:tc>
          <w:tcPr>
            <w:tcW w:w="63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Agri-Energy Desk Digital Platform</w:t>
            </w:r>
          </w:p>
        </w:tc>
      </w:tr>
      <w:tr>
        <w:trPr/>
        <w:tc>
          <w:tcPr>
            <w:tcW w:w="29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Geographic scope</w:t>
            </w:r>
          </w:p>
        </w:tc>
        <w:tc>
          <w:tcPr>
            <w:tcW w:w="63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Uganda, with the data model deliberately not bound to Ugandan administrative units so that extension across East Africa requires content partnerships rather than re-engineering</w:t>
            </w:r>
          </w:p>
        </w:tc>
      </w:tr>
      <w:tr>
        <w:trPr/>
        <w:tc>
          <w:tcPr>
            <w:tcW w:w="29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Sector focus</w:t>
            </w:r>
          </w:p>
        </w:tc>
        <w:tc>
          <w:tcPr>
            <w:tcW w:w="63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Productive Use of Renewable Energy (PURE) in agricultural value chains</w:t>
            </w:r>
          </w:p>
        </w:tc>
      </w:tr>
      <w:tr>
        <w:trPr/>
        <w:tc>
          <w:tcPr>
            <w:tcW w:w="29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Requirements baseline</w:t>
            </w:r>
          </w:p>
        </w:tc>
        <w:tc>
          <w:tcPr>
            <w:tcW w:w="63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Software Requirements Specification Version 2.0, revised to reflect the as-built platform and submitted for NREP approval</w:t>
            </w:r>
          </w:p>
        </w:tc>
      </w:tr>
      <w:tr>
        <w:trPr/>
        <w:tc>
          <w:tcPr>
            <w:tcW w:w="29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Current environment</w:t>
            </w:r>
          </w:p>
        </w:tc>
        <w:tc>
          <w:tcPr>
            <w:tcW w:w="63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User Acceptance Testing</w:t>
            </w:r>
          </w:p>
        </w:tc>
      </w:tr>
      <w:tr>
        <w:trPr/>
        <w:tc>
          <w:tcPr>
            <w:tcW w:w="2999"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Report date</w:t>
            </w:r>
          </w:p>
        </w:tc>
        <w:tc>
          <w:tcPr>
            <w:tcW w:w="6360"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29 September 2026</w:t>
            </w:r>
          </w:p>
        </w:tc>
      </w:tr>
    </w:tbl>
    <w:p>
      <w:pPr>
        <w:pStyle w:val="Normal"/>
        <w:spacing w:before="0" w:after="200"/>
        <w:rPr/>
      </w:pPr>
      <w:r>
        <w:rPr/>
      </w:r>
    </w:p>
    <w:p>
      <w:pPr>
        <w:pStyle w:val="Heading1"/>
        <w:rPr/>
      </w:pPr>
      <w:r>
        <w:rPr/>
        <w:t>4. Consultancy Objectives</w:t>
      </w:r>
    </w:p>
    <w:p>
      <w:pPr>
        <w:pStyle w:val="ListParagraph"/>
        <w:numPr>
          <w:ilvl w:val="0"/>
          <w:numId w:val="4"/>
        </w:numPr>
        <w:rPr/>
      </w:pPr>
      <w:r>
        <w:rPr/>
        <w:t>Design and develop a secure, scalable and responsive national platform.</w:t>
      </w:r>
    </w:p>
    <w:p>
      <w:pPr>
        <w:pStyle w:val="ListParagraph"/>
        <w:numPr>
          <w:ilvl w:val="0"/>
          <w:numId w:val="1"/>
        </w:numPr>
        <w:rPr/>
      </w:pPr>
      <w:r>
        <w:rPr/>
        <w:t>Deliver an integrated knowledge management system spanning projects, technologies, themes, partners, resources, events, opportunities and policy.</w:t>
      </w:r>
    </w:p>
    <w:p>
      <w:pPr>
        <w:pStyle w:val="ListParagraph"/>
        <w:numPr>
          <w:ilvl w:val="0"/>
          <w:numId w:val="1"/>
        </w:numPr>
        <w:rPr/>
      </w:pPr>
      <w:r>
        <w:rPr/>
        <w:t>Provide digital collaboration tools allowing sector actors to contribute under NREP editorial control.</w:t>
      </w:r>
    </w:p>
    <w:p>
      <w:pPr>
        <w:pStyle w:val="ListParagraph"/>
        <w:numPr>
          <w:ilvl w:val="0"/>
          <w:numId w:val="1"/>
        </w:numPr>
        <w:rPr/>
      </w:pPr>
      <w:r>
        <w:rPr/>
        <w:t>Provide administrative tools for content, user and resource management.</w:t>
      </w:r>
    </w:p>
    <w:p>
      <w:pPr>
        <w:pStyle w:val="ListParagraph"/>
        <w:numPr>
          <w:ilvl w:val="0"/>
          <w:numId w:val="1"/>
        </w:numPr>
        <w:rPr/>
      </w:pPr>
      <w:r>
        <w:rPr/>
        <w:t>Provide search, analytics and reporting capable of supporting evidence-based decisions.</w:t>
      </w:r>
    </w:p>
    <w:p>
      <w:pPr>
        <w:pStyle w:val="ListParagraph"/>
        <w:numPr>
          <w:ilvl w:val="0"/>
          <w:numId w:val="1"/>
        </w:numPr>
        <w:rPr/>
      </w:pPr>
      <w:r>
        <w:rPr/>
        <w:t>Provide geographic visualisation and machine-readable open data.</w:t>
      </w:r>
    </w:p>
    <w:p>
      <w:pPr>
        <w:pStyle w:val="ListParagraph"/>
        <w:numPr>
          <w:ilvl w:val="0"/>
          <w:numId w:val="1"/>
        </w:numPr>
        <w:rPr/>
      </w:pPr>
      <w:r>
        <w:rPr/>
        <w:t>Deliver inclusive, multilingual public access.</w:t>
      </w:r>
    </w:p>
    <w:p>
      <w:pPr>
        <w:pStyle w:val="ListParagraph"/>
        <w:numPr>
          <w:ilvl w:val="0"/>
          <w:numId w:val="1"/>
        </w:numPr>
        <w:rPr/>
      </w:pPr>
      <w:r>
        <w:rPr/>
        <w:t>Provide for future GIS, matchmaking and integration work without redevelopment.</w:t>
      </w:r>
    </w:p>
    <w:p>
      <w:pPr>
        <w:pStyle w:val="Heading1"/>
        <w:rPr/>
      </w:pPr>
      <w:r>
        <w:rPr/>
        <w:t>5. Scope of Work</w:t>
      </w:r>
    </w:p>
    <w:p>
      <w:pPr>
        <w:pStyle w:val="Normal"/>
        <w:rPr/>
      </w:pPr>
      <w:r>
        <w:rPr/>
        <w:t>In scope and delivered: requirements analysis and SRS development; user interface and experience design; full-stack development of the API, the public site and both portals; database design and implementation; the editorial workflow and role model; search, analytics and reporting; media and restricted-file handling; internationalisation and accessibility; automated testing; deployment to the UAT environment; and the documentation set.</w:t>
      </w:r>
    </w:p>
    <w:p>
      <w:pPr>
        <w:pStyle w:val="Normal"/>
        <w:rPr/>
      </w:pPr>
      <w:r>
        <w:rPr/>
        <w:t>Explicitly out of scope for this phase, as recorded in SRS Section 10: the GIS deep-dive module, investment matchmaking, the PURE marketplace, the artificial intelligence and automation layer, and integrations with specific external national systems. SRS Sections 7.1 and 7.2 describe architectural provisions for those; no code or infrastructure for them forms part of this delivery.</w:t>
      </w:r>
    </w:p>
    <w:p>
      <w:pPr>
        <w:pStyle w:val="Heading1"/>
        <w:rPr/>
      </w:pPr>
      <w:r>
        <w:rPr/>
        <w:t>6. Methodology</w:t>
      </w:r>
    </w:p>
    <w:p>
      <w:pPr>
        <w:pStyle w:val="ListParagraph"/>
        <w:numPr>
          <w:ilvl w:val="0"/>
          <w:numId w:val="5"/>
        </w:numPr>
        <w:rPr/>
      </w:pPr>
      <w:r>
        <w:rPr/>
        <w:t>Inception and requirements analysis — review of the Terms of Reference, stakeholder analysis, and definition of user classes and their needs.</w:t>
      </w:r>
    </w:p>
    <w:p>
      <w:pPr>
        <w:pStyle w:val="ListParagraph"/>
        <w:numPr>
          <w:ilvl w:val="0"/>
          <w:numId w:val="2"/>
        </w:numPr>
        <w:rPr/>
      </w:pPr>
      <w:r>
        <w:rPr/>
        <w:t>Specification — production of the SRS, revised to Version 2.0 against the as-built platform and submitted for approval.</w:t>
      </w:r>
    </w:p>
    <w:p>
      <w:pPr>
        <w:pStyle w:val="ListParagraph"/>
        <w:numPr>
          <w:ilvl w:val="0"/>
          <w:numId w:val="2"/>
        </w:numPr>
        <w:rPr/>
      </w:pPr>
      <w:r>
        <w:rPr/>
        <w:t>Design — a single design system, component library and navigation grammar shared by the public site and both portals, so that a user moving between them is not learning a second interface.</w:t>
      </w:r>
    </w:p>
    <w:p>
      <w:pPr>
        <w:pStyle w:val="ListParagraph"/>
        <w:numPr>
          <w:ilvl w:val="0"/>
          <w:numId w:val="2"/>
        </w:numPr>
        <w:rPr/>
      </w:pPr>
      <w:r>
        <w:rPr/>
        <w:t>Iterative development — backend and frontend developed in parallel against the versioned API contract, with automated tests written alongside.</w:t>
      </w:r>
    </w:p>
    <w:p>
      <w:pPr>
        <w:pStyle w:val="ListParagraph"/>
        <w:numPr>
          <w:ilvl w:val="0"/>
          <w:numId w:val="2"/>
        </w:numPr>
        <w:rPr/>
      </w:pPr>
      <w:r>
        <w:rPr/>
        <w:t>Verification — automated feature tests, static type checking, accessibility linting, and manual verification in a running browser.</w:t>
      </w:r>
    </w:p>
    <w:p>
      <w:pPr>
        <w:pStyle w:val="ListParagraph"/>
        <w:numPr>
          <w:ilvl w:val="0"/>
          <w:numId w:val="2"/>
        </w:numPr>
        <w:rPr/>
      </w:pPr>
      <w:r>
        <w:rPr/>
        <w:t>Deployment — provisioning of the UAT environment with scripted, repeatable release.</w:t>
      </w:r>
    </w:p>
    <w:p>
      <w:pPr>
        <w:pStyle w:val="ListParagraph"/>
        <w:numPr>
          <w:ilvl w:val="0"/>
          <w:numId w:val="2"/>
        </w:numPr>
        <w:rPr/>
      </w:pPr>
      <w:r>
        <w:rPr/>
        <w:t>Documentation — twelve deliverable documents, plus this reporting set.</w:t>
      </w:r>
    </w:p>
    <w:p>
      <w:pPr>
        <w:pStyle w:val="Normal"/>
        <w:rPr/>
      </w:pPr>
      <w:r>
        <w:rPr/>
        <w:t>One methodological choice is worth recording because it shaped the result. Authorisation was centralised from the outset into a small set of named gates and one shared content policy, consulting role groups defined in a single file. Changing what a role may do is therefore a change in one place. This is why the organisation-scoped roles and the two-stage approval path could be added late without a controller-by-controller audit.</w:t>
      </w:r>
    </w:p>
    <w:p>
      <w:pPr>
        <w:pStyle w:val="Heading1"/>
        <w:rPr/>
      </w:pPr>
      <w:r>
        <w:rPr/>
        <w:t>7. Stakeholders and User Groups</w:t>
      </w:r>
    </w:p>
    <w:tbl>
      <w:tblPr>
        <w:tblW w:w="9360" w:type="dxa"/>
        <w:jc w:val="left"/>
        <w:tblInd w:w="0" w:type="dxa"/>
        <w:tblLayout w:type="fixed"/>
        <w:tblCellMar>
          <w:top w:w="80" w:type="dxa"/>
          <w:left w:w="110" w:type="dxa"/>
          <w:bottom w:w="80" w:type="dxa"/>
          <w:right w:w="110" w:type="dxa"/>
        </w:tblCellMar>
      </w:tblPr>
      <w:tblGrid>
        <w:gridCol w:w="2299"/>
        <w:gridCol w:w="2801"/>
        <w:gridCol w:w="4260"/>
      </w:tblGrid>
      <w:tr>
        <w:trPr>
          <w:tblHeader w:val="true"/>
        </w:trPr>
        <w:tc>
          <w:tcPr>
            <w:tcW w:w="2299"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Group</w:t>
            </w:r>
          </w:p>
        </w:tc>
        <w:tc>
          <w:tcPr>
            <w:tcW w:w="2801" w:type="dxa"/>
            <w:tcBorders>
              <w:top w:val="single" w:sz="4" w:space="0" w:color="C8D6CE"/>
              <w:left w:val="single" w:sz="2"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Interest</w:t>
            </w:r>
          </w:p>
        </w:tc>
        <w:tc>
          <w:tcPr>
            <w:tcW w:w="4260"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How the platform serves them</w:t>
            </w:r>
          </w:p>
        </w:tc>
      </w:tr>
      <w:tr>
        <w:trPr/>
        <w:tc>
          <w:tcPr>
            <w:tcW w:w="22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NREP secretariat</w:t>
            </w:r>
          </w:p>
        </w:tc>
        <w:tc>
          <w:tcPr>
            <w:tcW w:w="280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Platform ownership; coordination mandate</w:t>
            </w:r>
          </w:p>
        </w:tc>
        <w:tc>
          <w:tcPr>
            <w:tcW w:w="42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Administration portal, editorial control, reporting module, audit trail</w:t>
            </w:r>
          </w:p>
        </w:tc>
      </w:tr>
      <w:tr>
        <w:trPr/>
        <w:tc>
          <w:tcPr>
            <w:tcW w:w="22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Government institutions (MAAIF, MEMD, ERA, local government)</w:t>
            </w:r>
          </w:p>
        </w:tc>
        <w:tc>
          <w:tcPr>
            <w:tcW w:w="280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Policy alignment; visibility of who is doing what</w:t>
            </w:r>
          </w:p>
        </w:tc>
        <w:tc>
          <w:tcPr>
            <w:tcW w:w="42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Project directory with geographic and value-chain filters; map; open data</w:t>
            </w:r>
          </w:p>
        </w:tc>
      </w:tr>
      <w:tr>
        <w:trPr/>
        <w:tc>
          <w:tcPr>
            <w:tcW w:w="22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Development partners</w:t>
            </w:r>
          </w:p>
        </w:tc>
        <w:tc>
          <w:tcPr>
            <w:tcW w:w="280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Coordination; avoiding duplication</w:t>
            </w:r>
          </w:p>
        </w:tc>
        <w:tc>
          <w:tcPr>
            <w:tcW w:w="42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Project directory, map, exportable datasets</w:t>
            </w:r>
          </w:p>
        </w:tc>
      </w:tr>
      <w:tr>
        <w:trPr/>
        <w:tc>
          <w:tcPr>
            <w:tcW w:w="22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Financial institutions and investors</w:t>
            </w:r>
          </w:p>
        </w:tc>
        <w:tc>
          <w:tcPr>
            <w:tcW w:w="280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Credible pipeline and partners</w:t>
            </w:r>
          </w:p>
        </w:tc>
        <w:tc>
          <w:tcPr>
            <w:tcW w:w="42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Project portfolio detail; opportunities module; partner directory</w:t>
            </w:r>
          </w:p>
        </w:tc>
      </w:tr>
      <w:tr>
        <w:trPr/>
        <w:tc>
          <w:tcPr>
            <w:tcW w:w="22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Private sector and technology suppliers</w:t>
            </w:r>
          </w:p>
        </w:tc>
        <w:tc>
          <w:tcPr>
            <w:tcW w:w="280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Market visibility</w:t>
            </w:r>
          </w:p>
        </w:tc>
        <w:tc>
          <w:tcPr>
            <w:tcW w:w="42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Directory profile and a route to publish offerings through the partner portal</w:t>
            </w:r>
          </w:p>
        </w:tc>
      </w:tr>
      <w:tr>
        <w:trPr/>
        <w:tc>
          <w:tcPr>
            <w:tcW w:w="22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Researchers and academia</w:t>
            </w:r>
          </w:p>
        </w:tc>
        <w:tc>
          <w:tcPr>
            <w:tcW w:w="280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Evidence access and dissemination</w:t>
            </w:r>
          </w:p>
        </w:tc>
        <w:tc>
          <w:tcPr>
            <w:tcW w:w="42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Resource library; thematic organisation; contribution route</w:t>
            </w:r>
          </w:p>
        </w:tc>
      </w:tr>
      <w:tr>
        <w:trPr/>
        <w:tc>
          <w:tcPr>
            <w:tcW w:w="22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Civil society and farmer organisations</w:t>
            </w:r>
          </w:p>
        </w:tc>
        <w:tc>
          <w:tcPr>
            <w:tcW w:w="280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Practical information</w:t>
            </w:r>
          </w:p>
        </w:tc>
        <w:tc>
          <w:tcPr>
            <w:tcW w:w="42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Open access without registration; lightweight pages; downloadable factsheets</w:t>
            </w:r>
          </w:p>
        </w:tc>
      </w:tr>
      <w:tr>
        <w:trPr/>
        <w:tc>
          <w:tcPr>
            <w:tcW w:w="2299"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Development practitioners</w:t>
            </w:r>
          </w:p>
        </w:tc>
        <w:tc>
          <w:tcPr>
            <w:tcW w:w="2801" w:type="dxa"/>
            <w:tcBorders>
              <w:top w:val="single" w:sz="2" w:space="0" w:color="C8D6CE"/>
              <w:left w:val="single" w:sz="2"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Reliable information, found quickly</w:t>
            </w:r>
          </w:p>
        </w:tc>
        <w:tc>
          <w:tcPr>
            <w:tcW w:w="4260"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Cross-module ranked search and type-ahead</w:t>
            </w:r>
          </w:p>
        </w:tc>
      </w:tr>
    </w:tbl>
    <w:p>
      <w:pPr>
        <w:pStyle w:val="Normal"/>
        <w:spacing w:before="0" w:after="200"/>
        <w:rPr/>
      </w:pPr>
      <w:r>
        <w:rPr/>
      </w:r>
    </w:p>
    <w:p>
      <w:pPr>
        <w:pStyle w:val="Heading1"/>
        <w:rPr/>
      </w:pPr>
      <w:r>
        <w:rPr/>
        <w:t>8. Requirements Analysis and SRS Validation</w:t>
      </w:r>
    </w:p>
    <w:p>
      <w:pPr>
        <w:pStyle w:val="Normal"/>
        <w:rPr/>
      </w:pPr>
      <w:r>
        <w:rPr/>
        <w:t>SRS Version 1.0 described the platform to be built. Version 2.0 restated those requirements against the platform as built, so that what NREP approves is a description of a system it can inspect rather than a forecast. It is organised into fourteen sections, of which Sections 3 to 9 constitute the accepted specification.</w:t>
      </w:r>
    </w:p>
    <w:p>
      <w:pPr>
        <w:pStyle w:val="Normal"/>
        <w:rPr/>
      </w:pPr>
      <w:r>
        <w:rPr/>
        <w:t>Two observations on the baseline, made here because they affect how the compliance position in Section 13 should be read.</w:t>
      </w:r>
    </w:p>
    <w:p>
      <w:pPr>
        <w:pStyle w:val="ListParagraph"/>
        <w:numPr>
          <w:ilvl w:val="0"/>
          <w:numId w:val="1"/>
        </w:numPr>
        <w:rPr/>
      </w:pPr>
      <w:r>
        <w:rPr/>
        <w:t>Sections 7.1 and 7.2 describe phase-two architecture — modular isolation, GIS hooks, matchmaking events, marketplace polymorphism, an AI vector layer, and a cloud-native production topology with load balancers, managed databases, object storage and Redis. These are design intentions. Section 10 correctly marks them as not in this phase. They are not compliance gaps and are not treated as such.</w:t>
      </w:r>
    </w:p>
    <w:p>
      <w:pPr>
        <w:pStyle w:val="ListParagraph"/>
        <w:numPr>
          <w:ilvl w:val="0"/>
          <w:numId w:val="1"/>
        </w:numPr>
        <w:rPr/>
      </w:pPr>
      <w:r>
        <w:rPr/>
        <w:t>Section 5 and Section 6.1, by contrast, state requirements in the present tense that are not implemented — multi-factor authentication, fifteen-minute token expiry, soft deletion, ON DELETE RESTRICT on taxonomies, a uniform API error envelope, consent logging and a retention routine. These sit alongside requirements that were met, without distinction in the document. Section 14 of this report separates them, so that NREP can decide each one explicitly rather than discover it later.</w:t>
      </w:r>
    </w:p>
    <w:p>
      <w:pPr>
        <w:pStyle w:val="Heading1"/>
        <w:rPr/>
      </w:pPr>
      <w:r>
        <w:rPr/>
        <w:t>9. Review of the Existing System</w:t>
      </w:r>
    </w:p>
    <w:p>
      <w:pPr>
        <w:pStyle w:val="Normal"/>
        <w:rPr/>
      </w:pPr>
      <w:r>
        <w:rPr/>
        <w:t>At the start of the enhancement phase the platform already provided a Laravel REST API over PostgreSQL with token authentication and role-based access control, a Next.js front end serving the public site and both portals, content management for the core entities, an editorial approval workflow, partner self-registration and an audit trail.</w:t>
      </w:r>
    </w:p>
    <w:p>
      <w:pPr>
        <w:pStyle w:val="Normal"/>
        <w:rPr/>
      </w:pPr>
      <w:r>
        <w:rPr/>
        <w:t>What SRS Version 2.0 added was largely refinement rather than new foundations: structured organisation profiles, organisation-scoped roles and a two-stage approval path, restricted file handling, richer opportunity types, and the analytics and reporting module.</w:t>
      </w:r>
    </w:p>
    <w:p>
      <w:pPr>
        <w:pStyle w:val="Heading1"/>
        <w:rPr/>
      </w:pPr>
      <w:r>
        <w:rPr/>
        <w:t>10. Platform Development and Enhancement</w:t>
      </w:r>
    </w:p>
    <w:p>
      <w:pPr>
        <w:pStyle w:val="Heading2"/>
        <w:rPr/>
      </w:pPr>
      <w:r>
        <w:rPr/>
        <w:t>10.1 Implemented modules</w:t>
      </w:r>
    </w:p>
    <w:tbl>
      <w:tblPr>
        <w:tblW w:w="9360" w:type="dxa"/>
        <w:jc w:val="left"/>
        <w:tblInd w:w="0" w:type="dxa"/>
        <w:tblLayout w:type="fixed"/>
        <w:tblCellMar>
          <w:top w:w="80" w:type="dxa"/>
          <w:left w:w="110" w:type="dxa"/>
          <w:bottom w:w="80" w:type="dxa"/>
          <w:right w:w="110" w:type="dxa"/>
        </w:tblCellMar>
      </w:tblPr>
      <w:tblGrid>
        <w:gridCol w:w="2399"/>
        <w:gridCol w:w="6960"/>
      </w:tblGrid>
      <w:tr>
        <w:trPr>
          <w:tblHeader w:val="true"/>
        </w:trPr>
        <w:tc>
          <w:tcPr>
            <w:tcW w:w="2399"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Module</w:t>
            </w:r>
          </w:p>
        </w:tc>
        <w:tc>
          <w:tcPr>
            <w:tcW w:w="6960"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Delivered capability</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Public homepage</w:t>
            </w:r>
          </w:p>
        </w:tc>
        <w:tc>
          <w:tcPr>
            <w:tcW w:w="69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Platform statistics, featured content, prominent search with type-ahead, collaborating-partner strip, registration call to action, newsletter sign-up</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Project directory</w:t>
            </w:r>
          </w:p>
        </w:tc>
        <w:tc>
          <w:tcPr>
            <w:tcW w:w="69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Filterable directory; detail pages with location, coordinates, timeline, budget, beneficiaries, partners, value chain, outcomes, gallery and attachments; multi-region and multi-district coverage</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Technology catalogue</w:t>
            </w:r>
          </w:p>
        </w:tc>
        <w:tc>
          <w:tcPr>
            <w:tcW w:w="69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Catalogue with structured applications, benefits, limitations, operational and maintenance notes</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Thematic knowledge hub</w:t>
            </w:r>
          </w:p>
        </w:tc>
        <w:tc>
          <w:tcPr>
            <w:tcW w:w="69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Cross-cutting themes linking projects, technologies and resources, each with a why-it-matters summary</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Ecosystem</w:t>
            </w:r>
          </w:p>
        </w:tc>
        <w:tc>
          <w:tcPr>
            <w:tcW w:w="69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Partner directory and profiles; multi-step self-registration for organisations and individuals; approval gate</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Resource library</w:t>
            </w:r>
          </w:p>
        </w:tc>
        <w:tc>
          <w:tcPr>
            <w:tcW w:w="69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Filterable library; file and link support; view-only files enforced at the file layer</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Events and learning hub</w:t>
            </w:r>
          </w:p>
        </w:tc>
        <w:tc>
          <w:tcPr>
            <w:tcW w:w="69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Event listings and detail pages with type, dates, online flag, location and registration link</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Opportunities, tenders and jobs</w:t>
            </w:r>
          </w:p>
        </w:tc>
        <w:tc>
          <w:tcPr>
            <w:tcW w:w="69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Five opportunity types; dedicated tenders browser; job and vacancy field set; document upload; application email</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News and stories</w:t>
            </w:r>
          </w:p>
        </w:tc>
        <w:tc>
          <w:tcPr>
            <w:tcW w:w="69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News, impact stories, press releases and announcements with galleries</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Map and open data</w:t>
            </w:r>
          </w:p>
        </w:tc>
        <w:tc>
          <w:tcPr>
            <w:tcW w:w="69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Interactive national map with regional and district views and filter-responsive charts; open-data aggregates; CSV and GeoJSON downloads</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Search</w:t>
            </w:r>
          </w:p>
        </w:tc>
        <w:tc>
          <w:tcPr>
            <w:tcW w:w="69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Ranked cross-module search over nine content types with per-type facet counts and header type-ahead</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Contact and submission</w:t>
            </w:r>
          </w:p>
        </w:tc>
        <w:tc>
          <w:tcPr>
            <w:tcW w:w="69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Public submission form; enquiry inbox with status and internal notes; newsletter double opt-in</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Partner portal</w:t>
            </w:r>
          </w:p>
        </w:tc>
        <w:tc>
          <w:tcPr>
            <w:tcW w:w="69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Dashboard, submission of five content types, organisation approvals queue, team management, profile self-service, notifications inbox</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Editorial workflow</w:t>
            </w:r>
          </w:p>
        </w:tc>
        <w:tc>
          <w:tcPr>
            <w:tcW w:w="69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Seven-state workflow, two-stage approval, review queue, approve and reject with notes, revisions on published records, audit trail</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Administration portal</w:t>
            </w:r>
          </w:p>
        </w:tc>
        <w:tc>
          <w:tcPr>
            <w:tcW w:w="69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Content management for nine entities, list filters, bulk actions, user and role management, enquiry inbox, newsletter administration, audit trail</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Analytics and reporting</w:t>
            </w:r>
          </w:p>
        </w:tc>
        <w:tc>
          <w:tcPr>
            <w:tcW w:w="69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Analytics dashboard with CSV export; eight period-scoped reports with PDF and Excel export</w:t>
            </w:r>
          </w:p>
        </w:tc>
      </w:tr>
      <w:tr>
        <w:trPr/>
        <w:tc>
          <w:tcPr>
            <w:tcW w:w="2399"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Internationalisation and accessibility</w:t>
            </w:r>
          </w:p>
        </w:tc>
        <w:tc>
          <w:tcPr>
            <w:tcW w:w="6960"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English, French and Kiswahili; accessibility statement; skip link; keyboard operability; WCAG 2.1 AA targeted</w:t>
            </w:r>
          </w:p>
        </w:tc>
      </w:tr>
    </w:tbl>
    <w:p>
      <w:pPr>
        <w:pStyle w:val="Normal"/>
        <w:spacing w:before="0" w:after="200"/>
        <w:rPr/>
      </w:pPr>
      <w:r>
        <w:rPr/>
      </w:r>
    </w:p>
    <w:p>
      <w:pPr>
        <w:pStyle w:val="Heading2"/>
        <w:rPr/>
      </w:pPr>
      <w:r>
        <w:rPr/>
        <w:t>10.2 Enhancements beyond the baseline</w:t>
      </w:r>
    </w:p>
    <w:p>
      <w:pPr>
        <w:pStyle w:val="ListParagraph"/>
        <w:numPr>
          <w:ilvl w:val="0"/>
          <w:numId w:val="1"/>
        </w:numPr>
        <w:rPr/>
      </w:pPr>
      <w:r>
        <w:rPr/>
        <w:t>View-only resource files enforced at the file layer through short-lived signed URLs and a private disk, closing SRS recommendation 11.1.</w:t>
      </w:r>
    </w:p>
    <w:p>
      <w:pPr>
        <w:pStyle w:val="ListParagraph"/>
        <w:numPr>
          <w:ilvl w:val="0"/>
          <w:numId w:val="1"/>
        </w:numPr>
        <w:rPr/>
      </w:pPr>
      <w:r>
        <w:rPr/>
        <w:t>Organisation-scoped roles and a two-stage approval path, so a partner organisation signs off its members' work before it reaches NREP.</w:t>
      </w:r>
    </w:p>
    <w:p>
      <w:pPr>
        <w:pStyle w:val="ListParagraph"/>
        <w:numPr>
          <w:ilvl w:val="0"/>
          <w:numId w:val="1"/>
        </w:numPr>
        <w:rPr/>
      </w:pPr>
      <w:r>
        <w:rPr/>
        <w:t>Content revisions: an edit to a published record is queued for review while the live version stays up.</w:t>
      </w:r>
    </w:p>
    <w:p>
      <w:pPr>
        <w:pStyle w:val="ListParagraph"/>
        <w:numPr>
          <w:ilvl w:val="0"/>
          <w:numId w:val="1"/>
        </w:numPr>
        <w:rPr/>
      </w:pPr>
      <w:r>
        <w:rPr/>
        <w:t>Author notification on both publication and rejection across all content types, closing two SRS recommendations in Section 11.2.</w:t>
      </w:r>
    </w:p>
    <w:p>
      <w:pPr>
        <w:pStyle w:val="ListParagraph"/>
        <w:numPr>
          <w:ilvl w:val="0"/>
          <w:numId w:val="1"/>
        </w:numPr>
        <w:rPr/>
      </w:pPr>
      <w:r>
        <w:rPr/>
        <w:t>Job and vacancy field set — organisation, duties, minimum education, experience, competences, document upload and application email — with rich-text editing and server-side HTML sanitisation.</w:t>
      </w:r>
    </w:p>
    <w:p>
      <w:pPr>
        <w:pStyle w:val="ListParagraph"/>
        <w:numPr>
          <w:ilvl w:val="0"/>
          <w:numId w:val="1"/>
        </w:numPr>
        <w:rPr/>
      </w:pPr>
      <w:r>
        <w:rPr/>
        <w:t>Bulk publish, unpublish and delete, with each affected record written individually to the audit trail.</w:t>
      </w:r>
    </w:p>
    <w:p>
      <w:pPr>
        <w:pStyle w:val="ListParagraph"/>
        <w:numPr>
          <w:ilvl w:val="0"/>
          <w:numId w:val="1"/>
        </w:numPr>
        <w:rPr/>
      </w:pPr>
      <w:r>
        <w:rPr/>
        <w:t>Individual as well as organisational partner registration.</w:t>
      </w:r>
    </w:p>
    <w:p>
      <w:pPr>
        <w:pStyle w:val="ListParagraph"/>
        <w:numPr>
          <w:ilvl w:val="0"/>
          <w:numId w:val="1"/>
        </w:numPr>
        <w:rPr/>
      </w:pPr>
      <w:r>
        <w:rPr/>
        <w:t>Dark mode across the public site and both portals.</w:t>
      </w:r>
    </w:p>
    <w:p>
      <w:pPr>
        <w:pStyle w:val="ListParagraph"/>
        <w:numPr>
          <w:ilvl w:val="0"/>
          <w:numId w:val="1"/>
        </w:numPr>
        <w:rPr/>
      </w:pPr>
      <w:r>
        <w:rPr/>
        <w:t>Document factsheet export as PDF and Excel from every public detail page.</w:t>
      </w:r>
    </w:p>
    <w:p>
      <w:pPr>
        <w:pStyle w:val="ListParagraph"/>
        <w:numPr>
          <w:ilvl w:val="0"/>
          <w:numId w:val="1"/>
        </w:numPr>
        <w:rPr/>
      </w:pPr>
      <w:r>
        <w:rPr/>
        <w:t>Username on accounts, with sign-in by username or email.</w:t>
      </w:r>
    </w:p>
    <w:p>
      <w:pPr>
        <w:pStyle w:val="ListParagraph"/>
        <w:numPr>
          <w:ilvl w:val="0"/>
          <w:numId w:val="1"/>
        </w:numPr>
        <w:rPr/>
      </w:pPr>
      <w:r>
        <w:rPr/>
        <w:t>A merged Job / Vacancy type replacing two overlapping labels.</w:t>
      </w:r>
    </w:p>
    <w:p>
      <w:pPr>
        <w:pStyle w:val="ListParagraph"/>
        <w:numPr>
          <w:ilvl w:val="0"/>
          <w:numId w:val="1"/>
        </w:numPr>
        <w:rPr/>
      </w:pPr>
      <w:r>
        <w:rPr/>
        <w:t>Restricted-resource reading in the browser without a download path.</w:t>
      </w:r>
    </w:p>
    <w:p>
      <w:pPr>
        <w:pStyle w:val="Heading1"/>
        <w:rPr/>
      </w:pPr>
      <w:r>
        <w:rPr/>
        <w:t>11. System Architecture</w:t>
      </w:r>
    </w:p>
    <w:p>
      <w:pPr>
        <w:pStyle w:val="Normal"/>
        <w:rPr/>
      </w:pPr>
      <w:r>
        <w:rPr/>
        <w:t>The platform is a two-tier web application. The backend is a Laravel REST API over PostgreSQL holding all data, authentication, authorisation, the editorial workflow, full-text search, media handling, analytics, reporting and the audit trail. The frontend is a Next.js application rendering the public site and both portals, consuming only the versioned API.</w:t>
      </w:r>
    </w:p>
    <w:p>
      <w:pPr>
        <w:pStyle w:val="Normal"/>
        <w:rPr/>
      </w:pPr>
      <w:r>
        <w:rPr/>
        <w:t>In deployment, nginx terminates TLS and is the single public entry point, routing API, media and health paths to PHP-FPM and everything else to the front end. Because both tiers are served from one origin there is no cross-origin configuration to maintain.</w:t>
      </w:r>
    </w:p>
    <w:p>
      <w:pPr>
        <w:pStyle w:val="Normal"/>
        <w:rPr/>
      </w:pPr>
      <w:r>
        <w:rPr/>
        <w:t>The front end can be delivered either as a Node server build or as a fully static export served by nginx from the API host. Both fetch live data in the browser, so a record approved at any moment is publicly visible on the next page load without a rebuild or deployment. No real record identifiers are baked into the build, which is what allows one artefact to be deployed to every environment.</w:t>
      </w:r>
    </w:p>
    <w:p>
      <w:pPr>
        <w:pStyle w:val="Heading1"/>
        <w:rPr/>
      </w:pPr>
      <w:r>
        <w:rPr/>
        <w:t>12. Data Architecture</w:t>
      </w:r>
    </w:p>
    <w:p>
      <w:pPr>
        <w:pStyle w:val="Normal"/>
        <w:rPr/>
      </w:pPr>
      <w:r>
        <w:rPr/>
        <w:t>A single PostgreSQL database of 39 tables, created by 34 migrations. Nine are publishable content entities sharing a common editorial column set; eight are many-to-many association tables; the remainder support identity, authorisation, auditing, queuing and revisions. Thirty-two foreign keys are declared, resolving to CASCADE on association tables and SET NULL on authorship links so that deleting a staff account never deletes the sector's content.</w:t>
      </w:r>
    </w:p>
    <w:p>
      <w:pPr>
        <w:pStyle w:val="Normal"/>
        <w:rPr/>
      </w:pPr>
      <w:r>
        <w:rPr/>
        <w:t>Repeating attributes belonging to a single record — a project's districts and gallery, a technology's benefits, a partner's sectors and coverage — are held as jsonb arrays rather than as child tables, which keeps a record readable and writable in one round trip at the cost of not being aggregable in SQL.</w:t>
      </w:r>
    </w:p>
    <w:p>
      <w:pPr>
        <w:pStyle w:val="Normal"/>
        <w:rPr/>
      </w:pPr>
      <w:r>
        <w:rPr/>
        <w:t>The accompanying Data Architecture Report (AED-02) documents this in full, including the risks arising from the absence of soft deletion and from divergence in the controlled vocabularies.</w:t>
      </w:r>
    </w:p>
    <w:p>
      <w:pPr>
        <w:pStyle w:val="Heading1"/>
        <w:rPr/>
      </w:pPr>
      <w:r>
        <w:rPr/>
        <w:t>13. Integrations</w:t>
      </w:r>
    </w:p>
    <w:p>
      <w:pPr>
        <w:pStyle w:val="Normal"/>
        <w:rPr/>
      </w:pPr>
      <w:r>
        <w:rPr/>
        <w:t>The platform holds no data in any external system and receives none. Two read-only services are used at the presentation layer: a place-name geocoding service consulted when an author types a location, and a vector map tile provider. Neither holds platform data, and resolved coordinates are stored locally so that map rendering never depends on the geocoder.</w:t>
      </w:r>
    </w:p>
    <w:p>
      <w:pPr>
        <w:pStyle w:val="Normal"/>
        <w:rPr/>
      </w:pPr>
      <w:r>
        <w:rPr/>
        <w:t>No machine-to-machine integration with a national system forms part of this delivery. The public read API is the surface over which one would be built; because it already exposes the full published dataset, onboarding a consumer requires no new backend development.</w:t>
      </w:r>
    </w:p>
    <w:p>
      <w:pPr>
        <w:pStyle w:val="Heading1"/>
        <w:rPr/>
      </w:pPr>
      <w:r>
        <w:rPr/>
        <w:t>14. Compliance Position Against the Approved SRS</w:t>
      </w:r>
    </w:p>
    <w:p>
      <w:pPr>
        <w:pStyle w:val="Heading2"/>
        <w:rPr/>
      </w:pPr>
      <w:r>
        <w:rPr/>
        <w:t>14.1 Functional requirements</w:t>
      </w:r>
    </w:p>
    <w:tbl>
      <w:tblPr>
        <w:tblW w:w="9360" w:type="dxa"/>
        <w:jc w:val="left"/>
        <w:tblInd w:w="0" w:type="dxa"/>
        <w:tblLayout w:type="fixed"/>
        <w:tblCellMar>
          <w:top w:w="80" w:type="dxa"/>
          <w:left w:w="110" w:type="dxa"/>
          <w:bottom w:w="80" w:type="dxa"/>
          <w:right w:w="110" w:type="dxa"/>
        </w:tblCellMar>
      </w:tblPr>
      <w:tblGrid>
        <w:gridCol w:w="2000"/>
        <w:gridCol w:w="999"/>
        <w:gridCol w:w="6361"/>
      </w:tblGrid>
      <w:tr>
        <w:trPr>
          <w:tblHeader w:val="true"/>
        </w:trPr>
        <w:tc>
          <w:tcPr>
            <w:tcW w:w="2000"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Status</w:t>
            </w:r>
          </w:p>
        </w:tc>
        <w:tc>
          <w:tcPr>
            <w:tcW w:w="999" w:type="dxa"/>
            <w:tcBorders>
              <w:top w:val="single" w:sz="4" w:space="0" w:color="C8D6CE"/>
              <w:left w:val="single" w:sz="2"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Count</w:t>
            </w:r>
          </w:p>
        </w:tc>
        <w:tc>
          <w:tcPr>
            <w:tcW w:w="6361"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Notes</w:t>
            </w:r>
          </w:p>
        </w:tc>
      </w:tr>
      <w:tr>
        <w:trPr/>
        <w:tc>
          <w:tcPr>
            <w:tcW w:w="20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9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71</w:t>
            </w:r>
          </w:p>
        </w:tc>
        <w:tc>
          <w:tcPr>
            <w:tcW w:w="636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Verifiable in the running system</w:t>
            </w:r>
          </w:p>
        </w:tc>
      </w:tr>
      <w:tr>
        <w:trPr/>
        <w:tc>
          <w:tcPr>
            <w:tcW w:w="20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Partial</w:t>
            </w:r>
          </w:p>
        </w:tc>
        <w:tc>
          <w:tcPr>
            <w:tcW w:w="9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4</w:t>
            </w:r>
          </w:p>
        </w:tc>
        <w:tc>
          <w:tcPr>
            <w:tcW w:w="636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FR-1.2 and FR-15.8 (site configuration), FR-15.7 (taxonomy), FR-11.3 (search filters), FR-12.2 (acknowledgement), FR-15.3 (list filtering)</w:t>
            </w:r>
          </w:p>
        </w:tc>
      </w:tr>
      <w:tr>
        <w:trPr/>
        <w:tc>
          <w:tcPr>
            <w:tcW w:w="20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Outstanding</w:t>
            </w:r>
          </w:p>
        </w:tc>
        <w:tc>
          <w:tcPr>
            <w:tcW w:w="9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3</w:t>
            </w:r>
          </w:p>
        </w:tc>
        <w:tc>
          <w:tcPr>
            <w:tcW w:w="636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FR-10.8 (coordinate bounds validation), FR-10.9 (map clustering), FR-15.12 (server-side pagination)</w:t>
            </w:r>
          </w:p>
        </w:tc>
      </w:tr>
      <w:tr>
        <w:trPr/>
        <w:tc>
          <w:tcPr>
            <w:tcW w:w="2000"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Changed after approval</w:t>
            </w:r>
          </w:p>
        </w:tc>
        <w:tc>
          <w:tcPr>
            <w:tcW w:w="999" w:type="dxa"/>
            <w:tcBorders>
              <w:top w:val="single" w:sz="2" w:space="0" w:color="C8D6CE"/>
              <w:left w:val="single" w:sz="2"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1</w:t>
            </w:r>
          </w:p>
        </w:tc>
        <w:tc>
          <w:tcPr>
            <w:tcW w:w="6361"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FR-8.3 — fields withdrawn from tender, procurement and vacancy forms at NREP's direction</w:t>
            </w:r>
          </w:p>
        </w:tc>
      </w:tr>
    </w:tbl>
    <w:p>
      <w:pPr>
        <w:pStyle w:val="Normal"/>
        <w:spacing w:before="0" w:after="200"/>
        <w:rPr/>
      </w:pPr>
      <w:r>
        <w:rPr/>
      </w:r>
    </w:p>
    <w:p>
      <w:pPr>
        <w:pStyle w:val="Heading2"/>
        <w:rPr/>
      </w:pPr>
      <w:r>
        <w:rPr/>
        <w:t>14.2 Non-functional requirements not implemented</w:t>
      </w:r>
    </w:p>
    <w:p>
      <w:pPr>
        <w:pStyle w:val="Normal"/>
        <w:rPr/>
      </w:pPr>
      <w:r>
        <w:rPr/>
        <w:t>The following are specified in SRS Sections 5 and 6.1 and are not present in the delivered system. Each requires either implementation or a recorded waiver.</w:t>
      </w:r>
    </w:p>
    <w:tbl>
      <w:tblPr>
        <w:tblW w:w="9360" w:type="dxa"/>
        <w:jc w:val="left"/>
        <w:tblInd w:w="0" w:type="dxa"/>
        <w:tblLayout w:type="fixed"/>
        <w:tblCellMar>
          <w:top w:w="80" w:type="dxa"/>
          <w:left w:w="110" w:type="dxa"/>
          <w:bottom w:w="80" w:type="dxa"/>
          <w:right w:w="110" w:type="dxa"/>
        </w:tblCellMar>
      </w:tblPr>
      <w:tblGrid>
        <w:gridCol w:w="2500"/>
        <w:gridCol w:w="3399"/>
        <w:gridCol w:w="3461"/>
      </w:tblGrid>
      <w:tr>
        <w:trPr>
          <w:tblHeader w:val="true"/>
        </w:trPr>
        <w:tc>
          <w:tcPr>
            <w:tcW w:w="2500"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Requirement</w:t>
            </w:r>
          </w:p>
        </w:tc>
        <w:tc>
          <w:tcPr>
            <w:tcW w:w="3399" w:type="dxa"/>
            <w:tcBorders>
              <w:top w:val="single" w:sz="4" w:space="0" w:color="C8D6CE"/>
              <w:left w:val="single" w:sz="2"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Verified position</w:t>
            </w:r>
          </w:p>
        </w:tc>
        <w:tc>
          <w:tcPr>
            <w:tcW w:w="3461"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Risk if left</w:t>
            </w:r>
          </w:p>
        </w:tc>
      </w:tr>
      <w:tr>
        <w:trPr/>
        <w:tc>
          <w:tcPr>
            <w:tcW w:w="25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Multi-factor authentication for privileged accounts</w:t>
            </w:r>
          </w:p>
        </w:tc>
        <w:tc>
          <w:tcPr>
            <w:tcW w:w="33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No MFA implementation exists</w:t>
            </w:r>
          </w:p>
        </w:tc>
        <w:tc>
          <w:tcPr>
            <w:tcW w:w="346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Accounts that can publish to a national platform and manage every other account are protected by a password alone</w:t>
            </w:r>
          </w:p>
        </w:tc>
      </w:tr>
      <w:tr>
        <w:trPr/>
        <w:tc>
          <w:tcPr>
            <w:tcW w:w="25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Bearer tokens expire after 15 minutes with refresh rotation</w:t>
            </w:r>
          </w:p>
        </w:tc>
        <w:tc>
          <w:tcPr>
            <w:tcW w:w="33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Token expiration is configured as null; issued tokens do not expire</w:t>
            </w:r>
          </w:p>
        </w:tc>
        <w:tc>
          <w:tcPr>
            <w:tcW w:w="346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A leaked token remains valid indefinitely until explicit sign-out</w:t>
            </w:r>
          </w:p>
        </w:tc>
      </w:tr>
      <w:tr>
        <w:trPr/>
        <w:tc>
          <w:tcPr>
            <w:tcW w:w="25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Soft deletion on core content; hard deletes forbidden</w:t>
            </w:r>
          </w:p>
        </w:tc>
        <w:tc>
          <w:tcPr>
            <w:tcW w:w="33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No soft-delete trait on any model; no deleted_at column in any table</w:t>
            </w:r>
          </w:p>
        </w:tc>
        <w:tc>
          <w:tcPr>
            <w:tcW w:w="346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Deletion is permanent. Bulk delete is exposed in the interface, so loss can be large and immediate</w:t>
            </w:r>
          </w:p>
        </w:tc>
      </w:tr>
      <w:tr>
        <w:trPr/>
        <w:tc>
          <w:tcPr>
            <w:tcW w:w="25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ON DELETE RESTRICT on controlled taxonomies</w:t>
            </w:r>
          </w:p>
        </w:tc>
        <w:tc>
          <w:tcPr>
            <w:tcW w:w="33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Taxonomy values are stored as text on content records, not as foreign keys</w:t>
            </w:r>
          </w:p>
        </w:tc>
        <w:tc>
          <w:tcPr>
            <w:tcW w:w="346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Removing or renaming a term silently orphans the text already written onto records</w:t>
            </w:r>
          </w:p>
        </w:tc>
      </w:tr>
      <w:tr>
        <w:trPr/>
        <w:tc>
          <w:tcPr>
            <w:tcW w:w="25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Uniform API error envelope</w:t>
            </w:r>
          </w:p>
        </w:tc>
        <w:tc>
          <w:tcPr>
            <w:tcW w:w="33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Not implemented; framework default shapes are returned</w:t>
            </w:r>
          </w:p>
        </w:tc>
        <w:tc>
          <w:tcPr>
            <w:tcW w:w="346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An external consumer onboarded against the SRS would find a different contract in practice</w:t>
            </w:r>
          </w:p>
        </w:tc>
      </w:tr>
      <w:tr>
        <w:trPr/>
        <w:tc>
          <w:tcPr>
            <w:tcW w:w="25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Timestamped consent logging for personal data</w:t>
            </w:r>
          </w:p>
        </w:tc>
        <w:tc>
          <w:tcPr>
            <w:tcW w:w="33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No consent column or logging found</w:t>
            </w:r>
          </w:p>
        </w:tc>
        <w:tc>
          <w:tcPr>
            <w:tcW w:w="346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Obligation under the Data Protection and Privacy Act unmet</w:t>
            </w:r>
          </w:p>
        </w:tc>
      </w:tr>
      <w:tr>
        <w:trPr/>
        <w:tc>
          <w:tcPr>
            <w:tcW w:w="25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Anonymise or expunge submissions after 24 months</w:t>
            </w:r>
          </w:p>
        </w:tc>
        <w:tc>
          <w:tcPr>
            <w:tcW w:w="33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No retention routine, and no scheduler configured to run one</w:t>
            </w:r>
          </w:p>
        </w:tc>
        <w:tc>
          <w:tcPr>
            <w:tcW w:w="346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Personal data retained indefinitely</w:t>
            </w:r>
          </w:p>
        </w:tc>
      </w:tr>
      <w:tr>
        <w:trPr/>
        <w:tc>
          <w:tcPr>
            <w:tcW w:w="2500"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Performance targets: 250KB page weight, 200ms API at 500 concurrent, Lighthouse 90+, search under 100ms</w:t>
            </w:r>
          </w:p>
        </w:tc>
        <w:tc>
          <w:tcPr>
            <w:tcW w:w="3399" w:type="dxa"/>
            <w:tcBorders>
              <w:top w:val="single" w:sz="2" w:space="0" w:color="C8D6CE"/>
              <w:left w:val="single" w:sz="2"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No load testing or Lighthouse measurement performed</w:t>
            </w:r>
          </w:p>
        </w:tc>
        <w:tc>
          <w:tcPr>
            <w:tcW w:w="3461"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Targets are neither demonstrated nor disproved</w:t>
            </w:r>
          </w:p>
        </w:tc>
      </w:tr>
    </w:tbl>
    <w:p>
      <w:pPr>
        <w:pStyle w:val="Normal"/>
        <w:spacing w:before="0" w:after="200"/>
        <w:rPr/>
      </w:pPr>
      <w:r>
        <w:rPr/>
      </w:r>
    </w:p>
    <w:p>
      <w:pPr>
        <w:pStyle w:val="Heading1"/>
        <w:rPr/>
      </w:pPr>
      <w:r>
        <w:rPr/>
        <w:t>15. Testing and Quality Assurance</w:t>
      </w:r>
    </w:p>
    <w:p>
      <w:pPr>
        <w:pStyle w:val="Normal"/>
        <w:rPr/>
      </w:pPr>
      <w:r>
        <w:rPr/>
        <w:t>The backend carries 147 automated feature tests across 11 test classes, running against PostgreSQL. At the time of writing 144 pass and 3 fail.</w:t>
      </w:r>
    </w:p>
    <w:p>
      <w:pPr>
        <w:pStyle w:val="Normal"/>
        <w:rPr/>
      </w:pPr>
      <w:r>
        <w:rPr/>
        <w:t>All three failures were investigated and none is a product defect. Two registration tests submit a payload without a username, which became a required field in order to satisfy FR-5.9; the fixtures were not updated. One stakeholder-directory test asserts a single row, but a later migration seeds NREP's own partner record, so the report correctly returns two — the behaviour under test, exclusion of unpublished partners, works. Both fixtures should be corrected so the suite returns to green and continues to signal real regressions.</w:t>
      </w:r>
    </w:p>
    <w:tbl>
      <w:tblPr>
        <w:tblW w:w="9360" w:type="dxa"/>
        <w:jc w:val="left"/>
        <w:tblInd w:w="0" w:type="dxa"/>
        <w:tblLayout w:type="fixed"/>
        <w:tblCellMar>
          <w:top w:w="80" w:type="dxa"/>
          <w:left w:w="110" w:type="dxa"/>
          <w:bottom w:w="80" w:type="dxa"/>
          <w:right w:w="110" w:type="dxa"/>
        </w:tblCellMar>
      </w:tblPr>
      <w:tblGrid>
        <w:gridCol w:w="2999"/>
        <w:gridCol w:w="6360"/>
      </w:tblGrid>
      <w:tr>
        <w:trPr>
          <w:tblHeader w:val="true"/>
        </w:trPr>
        <w:tc>
          <w:tcPr>
            <w:tcW w:w="2999"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SRS Section 13 testing gate</w:t>
            </w:r>
          </w:p>
        </w:tc>
        <w:tc>
          <w:tcPr>
            <w:tcW w:w="6360"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Position</w:t>
            </w:r>
          </w:p>
        </w:tc>
      </w:tr>
      <w:tr>
        <w:trPr/>
        <w:tc>
          <w:tcPr>
            <w:tcW w:w="29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Backend unit and feature tests</w:t>
            </w:r>
          </w:p>
        </w:tc>
        <w:tc>
          <w:tcPr>
            <w:tcW w:w="63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Implemented — 147 tests across 11 classes</w:t>
            </w:r>
          </w:p>
        </w:tc>
      </w:tr>
      <w:tr>
        <w:trPr/>
        <w:tc>
          <w:tcPr>
            <w:tcW w:w="29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Role and security verification</w:t>
            </w:r>
          </w:p>
        </w:tc>
        <w:tc>
          <w:tcPr>
            <w:tcW w:w="63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Implemented — access control covered by the backend suite</w:t>
            </w:r>
          </w:p>
        </w:tc>
      </w:tr>
      <w:tr>
        <w:trPr/>
        <w:tc>
          <w:tcPr>
            <w:tcW w:w="29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Frontend unit and component tests</w:t>
            </w:r>
          </w:p>
        </w:tc>
        <w:tc>
          <w:tcPr>
            <w:tcW w:w="63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Outstanding — no Jest or Vitest configuration exists</w:t>
            </w:r>
          </w:p>
        </w:tc>
      </w:tr>
      <w:tr>
        <w:trPr/>
        <w:tc>
          <w:tcPr>
            <w:tcW w:w="29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End-to-end integration tests</w:t>
            </w:r>
          </w:p>
        </w:tc>
        <w:tc>
          <w:tcPr>
            <w:tcW w:w="63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Outstanding — no Cypress or Playwright framework present</w:t>
            </w:r>
          </w:p>
        </w:tc>
      </w:tr>
      <w:tr>
        <w:trPr/>
        <w:tc>
          <w:tcPr>
            <w:tcW w:w="29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Performance and mobile SLA tests</w:t>
            </w:r>
          </w:p>
        </w:tc>
        <w:tc>
          <w:tcPr>
            <w:tcW w:w="63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Outstanding — no load or Lighthouse testing performed</w:t>
            </w:r>
          </w:p>
        </w:tc>
      </w:tr>
      <w:tr>
        <w:trPr/>
        <w:tc>
          <w:tcPr>
            <w:tcW w:w="2999"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Continuous integration pipeline</w:t>
            </w:r>
          </w:p>
        </w:tc>
        <w:tc>
          <w:tcPr>
            <w:tcW w:w="6360"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Outstanding — no CI workflow in the repository</w:t>
            </w:r>
          </w:p>
        </w:tc>
      </w:tr>
    </w:tbl>
    <w:p>
      <w:pPr>
        <w:pStyle w:val="Normal"/>
        <w:spacing w:before="0" w:after="200"/>
        <w:rPr/>
      </w:pPr>
      <w:r>
        <w:rPr/>
      </w:r>
    </w:p>
    <w:p>
      <w:pPr>
        <w:pStyle w:val="Normal"/>
        <w:rPr/>
      </w:pPr>
      <w:r>
        <w:rPr/>
        <w:t>TypeScript type checking and ESLint, including accessibility rules, run clean across the front end and serve as the current static quality gate. Manual verification was performed in a running browser across the public site and both portals.</w:t>
      </w:r>
    </w:p>
    <w:p>
      <w:pPr>
        <w:pStyle w:val="Heading1"/>
        <w:rPr/>
      </w:pPr>
      <w:r>
        <w:rPr/>
        <w:t>16. Training and Knowledge Transfer</w:t>
      </w:r>
    </w:p>
    <w:p>
      <w:pPr>
        <w:pStyle w:val="Normal"/>
        <w:rPr/>
      </w:pPr>
      <w:r>
        <w:rPr/>
        <w:t>The following have been delivered as the knowledge transfer package:</w:t>
      </w:r>
    </w:p>
    <w:p>
      <w:pPr>
        <w:pStyle w:val="ListParagraph"/>
        <w:numPr>
          <w:ilvl w:val="0"/>
          <w:numId w:val="1"/>
        </w:numPr>
        <w:rPr/>
      </w:pPr>
      <w:r>
        <w:rPr/>
        <w:t>A User Manual (AED-03) covering the public site and both portals, with screenshots from the running system and instructions differentiated by role.</w:t>
      </w:r>
    </w:p>
    <w:p>
      <w:pPr>
        <w:pStyle w:val="ListParagraph"/>
        <w:numPr>
          <w:ilvl w:val="0"/>
          <w:numId w:val="1"/>
        </w:numPr>
        <w:rPr/>
      </w:pPr>
      <w:r>
        <w:rPr/>
        <w:t>An Administrator Manual covering the review queue, user approval, the reporting module and the recommended operating rhythm.</w:t>
      </w:r>
    </w:p>
    <w:p>
      <w:pPr>
        <w:pStyle w:val="ListParagraph"/>
        <w:numPr>
          <w:ilvl w:val="0"/>
          <w:numId w:val="1"/>
        </w:numPr>
        <w:rPr/>
      </w:pPr>
      <w:r>
        <w:rPr/>
        <w:t>Technical documentation covering the API surface, the code structure and the deployment process.</w:t>
      </w:r>
    </w:p>
    <w:p>
      <w:pPr>
        <w:pStyle w:val="ListParagraph"/>
        <w:numPr>
          <w:ilvl w:val="0"/>
          <w:numId w:val="1"/>
        </w:numPr>
        <w:rPr/>
      </w:pPr>
      <w:r>
        <w:rPr/>
        <w:t>This Final Consultancy Report, the Enhanced Platform Development Report (AED-01) and the Data Architecture Report (AED-02).</w:t>
      </w:r>
    </w:p>
    <w:p>
      <w:pPr>
        <w:pStyle w:val="ListParagraph"/>
        <w:numPr>
          <w:ilvl w:val="0"/>
          <w:numId w:val="1"/>
        </w:numPr>
        <w:rPr/>
      </w:pPr>
      <w:r>
        <w:rPr/>
        <w:t>Source code with inline documentation, and the automated test suite.</w:t>
      </w:r>
    </w:p>
    <w:p>
      <w:pPr>
        <w:pStyle w:val="Normal"/>
        <w:rPr/>
      </w:pPr>
      <w:r>
        <w:rPr/>
        <w:t xml:space="preserve">One item requires NREP confirmation. </w:t>
      </w:r>
      <w:r>
        <w:rPr>
          <w:b/>
          <w:bCs/>
        </w:rPr>
        <w:t>The training record in the deliverable set carries unfilled placeholders</w:t>
      </w:r>
      <w:r>
        <w:rPr/>
        <w:t xml:space="preserve"> for attendance and dates. Whether role-based training sessions have been delivered to named NREP staff is not evidenced in the project artefacts, and NREP should confirm the position rather than treat it as complete.</w:t>
      </w:r>
    </w:p>
    <w:p>
      <w:pPr>
        <w:pStyle w:val="Heading1"/>
        <w:rPr/>
      </w:pPr>
      <w:r>
        <w:rPr/>
        <w:t>17. Deployment</w:t>
      </w:r>
    </w:p>
    <w:p>
      <w:pPr>
        <w:pStyle w:val="Normal"/>
        <w:rPr/>
      </w:pPr>
      <w:r>
        <w:rPr/>
        <w:t>The platform is deployed in the User Acceptance Testing environment on a single virtual private server, with nginx as the public entry point, PHP-FPM serving the API and the exported front end served from the API host. Release is scripted: pull, synchronise the application into the document root, mirror the exported front end, run migrations, relink storage, reset caches and verify that record pages resolve.</w:t>
      </w:r>
    </w:p>
    <w:p>
      <w:pPr>
        <w:pStyle w:val="Normal"/>
        <w:rPr/>
      </w:pPr>
      <w:r>
        <w:rPr/>
        <w:t>The release script mirrors the static export directory with deletion enabled — deliberately, because a stale prerendered page would otherwise be served ahead of the current one — while leaving the rest of the tree additive so that uploads, environment files and version control are not disturbed.</w:t>
      </w:r>
    </w:p>
    <w:p>
      <w:pPr>
        <w:pStyle w:val="Normal"/>
        <w:rPr/>
      </w:pPr>
      <w:r>
        <w:rPr/>
        <w:t>SRS Section 7.2 describes a decoupled cloud-native production topology with load-balanced compute, a managed database with point-in-time recovery, object storage and a CDN. None of that is provisioned; the current environment is the single-server UAT deployment the SRS itself describes. Moving to the production topology is a separate infrastructure exercise.</w:t>
      </w:r>
    </w:p>
    <w:p>
      <w:pPr>
        <w:pStyle w:val="Heading1"/>
        <w:rPr/>
      </w:pPr>
      <w:r>
        <w:rPr/>
        <w:t>18. Deliverables</w:t>
      </w:r>
    </w:p>
    <w:tbl>
      <w:tblPr>
        <w:tblW w:w="9360" w:type="dxa"/>
        <w:jc w:val="left"/>
        <w:tblInd w:w="0" w:type="dxa"/>
        <w:tblLayout w:type="fixed"/>
        <w:tblCellMar>
          <w:top w:w="80" w:type="dxa"/>
          <w:left w:w="110" w:type="dxa"/>
          <w:bottom w:w="80" w:type="dxa"/>
          <w:right w:w="110" w:type="dxa"/>
        </w:tblCellMar>
      </w:tblPr>
      <w:tblGrid>
        <w:gridCol w:w="700"/>
        <w:gridCol w:w="3599"/>
        <w:gridCol w:w="1600"/>
        <w:gridCol w:w="3460"/>
      </w:tblGrid>
      <w:tr>
        <w:trPr>
          <w:tblHeader w:val="true"/>
        </w:trPr>
        <w:tc>
          <w:tcPr>
            <w:tcW w:w="700"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w:t>
            </w:r>
          </w:p>
        </w:tc>
        <w:tc>
          <w:tcPr>
            <w:tcW w:w="3599" w:type="dxa"/>
            <w:tcBorders>
              <w:top w:val="single" w:sz="4" w:space="0" w:color="C8D6CE"/>
              <w:left w:val="single" w:sz="2"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Deliverable</w:t>
            </w:r>
          </w:p>
        </w:tc>
        <w:tc>
          <w:tcPr>
            <w:tcW w:w="1600" w:type="dxa"/>
            <w:tcBorders>
              <w:top w:val="single" w:sz="4" w:space="0" w:color="C8D6CE"/>
              <w:left w:val="single" w:sz="2"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Status</w:t>
            </w:r>
          </w:p>
        </w:tc>
        <w:tc>
          <w:tcPr>
            <w:tcW w:w="3460"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Note</w:t>
            </w:r>
          </w:p>
        </w:tc>
      </w:tr>
      <w:tr>
        <w:trPr/>
        <w:tc>
          <w:tcPr>
            <w:tcW w:w="7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1</w:t>
            </w:r>
          </w:p>
        </w:tc>
        <w:tc>
          <w:tcPr>
            <w:tcW w:w="35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Inception report</w:t>
            </w:r>
          </w:p>
        </w:tc>
        <w:tc>
          <w:tcPr>
            <w:tcW w:w="16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Delivered</w:t>
            </w:r>
          </w:p>
        </w:tc>
        <w:tc>
          <w:tcPr>
            <w:tcW w:w="3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Event record; carries unfilled placeholders</w:t>
            </w:r>
          </w:p>
        </w:tc>
      </w:tr>
      <w:tr>
        <w:trPr/>
        <w:tc>
          <w:tcPr>
            <w:tcW w:w="7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2</w:t>
            </w:r>
          </w:p>
        </w:tc>
        <w:tc>
          <w:tcPr>
            <w:tcW w:w="35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Requirements analysis report</w:t>
            </w:r>
          </w:p>
        </w:tc>
        <w:tc>
          <w:tcPr>
            <w:tcW w:w="16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Delivered</w:t>
            </w:r>
          </w:p>
        </w:tc>
        <w:tc>
          <w:tcPr>
            <w:tcW w:w="3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Event record; carries unfilled placeholders</w:t>
            </w:r>
          </w:p>
        </w:tc>
      </w:tr>
      <w:tr>
        <w:trPr/>
        <w:tc>
          <w:tcPr>
            <w:tcW w:w="7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3</w:t>
            </w:r>
          </w:p>
        </w:tc>
        <w:tc>
          <w:tcPr>
            <w:tcW w:w="35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Software Requirements Specification</w:t>
            </w:r>
          </w:p>
        </w:tc>
        <w:tc>
          <w:tcPr>
            <w:tcW w:w="16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Delivered and approved</w:t>
            </w:r>
          </w:p>
        </w:tc>
        <w:tc>
          <w:tcPr>
            <w:tcW w:w="3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Version 2.0, the baseline for this report</w:t>
            </w:r>
          </w:p>
        </w:tc>
      </w:tr>
      <w:tr>
        <w:trPr/>
        <w:tc>
          <w:tcPr>
            <w:tcW w:w="7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4</w:t>
            </w:r>
          </w:p>
        </w:tc>
        <w:tc>
          <w:tcPr>
            <w:tcW w:w="35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UI/UX design package</w:t>
            </w:r>
          </w:p>
        </w:tc>
        <w:tc>
          <w:tcPr>
            <w:tcW w:w="16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Delivered</w:t>
            </w:r>
          </w:p>
        </w:tc>
        <w:tc>
          <w:tcPr>
            <w:tcW w:w="3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One design system across all three areas</w:t>
            </w:r>
          </w:p>
        </w:tc>
      </w:tr>
      <w:tr>
        <w:trPr/>
        <w:tc>
          <w:tcPr>
            <w:tcW w:w="7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5</w:t>
            </w:r>
          </w:p>
        </w:tc>
        <w:tc>
          <w:tcPr>
            <w:tcW w:w="35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Developed platform</w:t>
            </w:r>
          </w:p>
        </w:tc>
        <w:tc>
          <w:tcPr>
            <w:tcW w:w="16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Delivered</w:t>
            </w:r>
          </w:p>
        </w:tc>
        <w:tc>
          <w:tcPr>
            <w:tcW w:w="3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Running in UAT</w:t>
            </w:r>
          </w:p>
        </w:tc>
      </w:tr>
      <w:tr>
        <w:trPr/>
        <w:tc>
          <w:tcPr>
            <w:tcW w:w="7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6</w:t>
            </w:r>
          </w:p>
        </w:tc>
        <w:tc>
          <w:tcPr>
            <w:tcW w:w="35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Database architecture</w:t>
            </w:r>
          </w:p>
        </w:tc>
        <w:tc>
          <w:tcPr>
            <w:tcW w:w="16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Delivered</w:t>
            </w:r>
          </w:p>
        </w:tc>
        <w:tc>
          <w:tcPr>
            <w:tcW w:w="3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Expanded in AED-02</w:t>
            </w:r>
          </w:p>
        </w:tc>
      </w:tr>
      <w:tr>
        <w:trPr/>
        <w:tc>
          <w:tcPr>
            <w:tcW w:w="7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7</w:t>
            </w:r>
          </w:p>
        </w:tc>
        <w:tc>
          <w:tcPr>
            <w:tcW w:w="35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Testing report</w:t>
            </w:r>
          </w:p>
        </w:tc>
        <w:tc>
          <w:tcPr>
            <w:tcW w:w="16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Delivered</w:t>
            </w:r>
          </w:p>
        </w:tc>
        <w:tc>
          <w:tcPr>
            <w:tcW w:w="3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Current position in Section 15</w:t>
            </w:r>
          </w:p>
        </w:tc>
      </w:tr>
      <w:tr>
        <w:trPr/>
        <w:tc>
          <w:tcPr>
            <w:tcW w:w="7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8</w:t>
            </w:r>
          </w:p>
        </w:tc>
        <w:tc>
          <w:tcPr>
            <w:tcW w:w="35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Deployment report</w:t>
            </w:r>
          </w:p>
        </w:tc>
        <w:tc>
          <w:tcPr>
            <w:tcW w:w="16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Delivered</w:t>
            </w:r>
          </w:p>
        </w:tc>
        <w:tc>
          <w:tcPr>
            <w:tcW w:w="3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Event record; carries unfilled placeholders</w:t>
            </w:r>
          </w:p>
        </w:tc>
      </w:tr>
      <w:tr>
        <w:trPr/>
        <w:tc>
          <w:tcPr>
            <w:tcW w:w="7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9</w:t>
            </w:r>
          </w:p>
        </w:tc>
        <w:tc>
          <w:tcPr>
            <w:tcW w:w="35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User manuals</w:t>
            </w:r>
          </w:p>
        </w:tc>
        <w:tc>
          <w:tcPr>
            <w:tcW w:w="16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Delivered</w:t>
            </w:r>
          </w:p>
        </w:tc>
        <w:tc>
          <w:tcPr>
            <w:tcW w:w="3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Reissued as AED-03 with screenshots</w:t>
            </w:r>
          </w:p>
        </w:tc>
      </w:tr>
      <w:tr>
        <w:trPr/>
        <w:tc>
          <w:tcPr>
            <w:tcW w:w="7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10</w:t>
            </w:r>
          </w:p>
        </w:tc>
        <w:tc>
          <w:tcPr>
            <w:tcW w:w="35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Technical documentation</w:t>
            </w:r>
          </w:p>
        </w:tc>
        <w:tc>
          <w:tcPr>
            <w:tcW w:w="16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Delivered</w:t>
            </w:r>
          </w:p>
        </w:tc>
        <w:tc>
          <w:tcPr>
            <w:tcW w:w="3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API, code structure, deployment</w:t>
            </w:r>
          </w:p>
        </w:tc>
      </w:tr>
      <w:tr>
        <w:trPr/>
        <w:tc>
          <w:tcPr>
            <w:tcW w:w="7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11</w:t>
            </w:r>
          </w:p>
        </w:tc>
        <w:tc>
          <w:tcPr>
            <w:tcW w:w="35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Training report</w:t>
            </w:r>
          </w:p>
        </w:tc>
        <w:tc>
          <w:tcPr>
            <w:tcW w:w="16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Requires confirmation</w:t>
            </w:r>
          </w:p>
        </w:tc>
        <w:tc>
          <w:tcPr>
            <w:tcW w:w="3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Carries unfilled placeholders; see Section 16</w:t>
            </w:r>
          </w:p>
        </w:tc>
      </w:tr>
      <w:tr>
        <w:trPr/>
        <w:tc>
          <w:tcPr>
            <w:tcW w:w="700"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12</w:t>
            </w:r>
          </w:p>
        </w:tc>
        <w:tc>
          <w:tcPr>
            <w:tcW w:w="3599" w:type="dxa"/>
            <w:tcBorders>
              <w:top w:val="single" w:sz="2" w:space="0" w:color="C8D6CE"/>
              <w:left w:val="single" w:sz="2"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Final consultancy report</w:t>
            </w:r>
          </w:p>
        </w:tc>
        <w:tc>
          <w:tcPr>
            <w:tcW w:w="1600" w:type="dxa"/>
            <w:tcBorders>
              <w:top w:val="single" w:sz="2" w:space="0" w:color="C8D6CE"/>
              <w:left w:val="single" w:sz="2"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This document</w:t>
            </w:r>
          </w:p>
        </w:tc>
        <w:tc>
          <w:tcPr>
            <w:tcW w:w="3460"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AED-04</w:t>
            </w:r>
          </w:p>
        </w:tc>
      </w:tr>
    </w:tbl>
    <w:p>
      <w:pPr>
        <w:pStyle w:val="Normal"/>
        <w:spacing w:before="0" w:after="200"/>
        <w:rPr/>
      </w:pPr>
      <w:r>
        <w:rPr/>
      </w:r>
    </w:p>
    <w:p>
      <w:pPr>
        <w:pStyle w:val="Normal"/>
        <w:rPr/>
      </w:pPr>
      <w:r>
        <w:rPr>
          <w:i/>
          <w:iCs/>
        </w:rPr>
        <w:t>Documents marked as carrying unfilled placeholders are event records — they describe activities whose particulars (dates, attendees, sign-offs) must be completed by the parties involved. They should not be submitted in their current state.</w:t>
      </w:r>
    </w:p>
    <w:p>
      <w:pPr>
        <w:pStyle w:val="Heading1"/>
        <w:rPr/>
      </w:pPr>
      <w:r>
        <w:rPr/>
        <w:t>19. Current System Status</w:t>
      </w:r>
    </w:p>
    <w:tbl>
      <w:tblPr>
        <w:tblW w:w="9360" w:type="dxa"/>
        <w:jc w:val="left"/>
        <w:tblInd w:w="0" w:type="dxa"/>
        <w:tblLayout w:type="fixed"/>
        <w:tblCellMar>
          <w:top w:w="80" w:type="dxa"/>
          <w:left w:w="110" w:type="dxa"/>
          <w:bottom w:w="80" w:type="dxa"/>
          <w:right w:w="110" w:type="dxa"/>
        </w:tblCellMar>
      </w:tblPr>
      <w:tblGrid>
        <w:gridCol w:w="2600"/>
        <w:gridCol w:w="6759"/>
      </w:tblGrid>
      <w:tr>
        <w:trPr>
          <w:tblHeader w:val="true"/>
        </w:trPr>
        <w:tc>
          <w:tcPr>
            <w:tcW w:w="2600"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Dimension</w:t>
            </w:r>
          </w:p>
        </w:tc>
        <w:tc>
          <w:tcPr>
            <w:tcW w:w="6759"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Status</w:t>
            </w:r>
          </w:p>
        </w:tc>
      </w:tr>
      <w:tr>
        <w:trPr/>
        <w:tc>
          <w:tcPr>
            <w:tcW w:w="26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Functional completeness</w:t>
            </w:r>
          </w:p>
        </w:tc>
        <w:tc>
          <w:tcPr>
            <w:tcW w:w="6759"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71 of 78 requirements implemented; 4 partial; 3 outstanding; 1 changed after approval</w:t>
            </w:r>
          </w:p>
        </w:tc>
      </w:tr>
      <w:tr>
        <w:trPr/>
        <w:tc>
          <w:tcPr>
            <w:tcW w:w="26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Environment</w:t>
            </w:r>
          </w:p>
        </w:tc>
        <w:tc>
          <w:tcPr>
            <w:tcW w:w="6759"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User Acceptance Testing; single server</w:t>
            </w:r>
          </w:p>
        </w:tc>
      </w:tr>
      <w:tr>
        <w:trPr/>
        <w:tc>
          <w:tcPr>
            <w:tcW w:w="26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Content</w:t>
            </w:r>
          </w:p>
        </w:tc>
        <w:tc>
          <w:tcPr>
            <w:tcW w:w="6759"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Demonstration data only. Not suitable for public launch</w:t>
            </w:r>
          </w:p>
        </w:tc>
      </w:tr>
      <w:tr>
        <w:trPr/>
        <w:tc>
          <w:tcPr>
            <w:tcW w:w="26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Email delivery</w:t>
            </w:r>
          </w:p>
        </w:tc>
        <w:tc>
          <w:tcPr>
            <w:tcW w:w="6759"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Not configured. Mail is written to the application log rather than sent</w:t>
            </w:r>
          </w:p>
        </w:tc>
      </w:tr>
      <w:tr>
        <w:trPr/>
        <w:tc>
          <w:tcPr>
            <w:tcW w:w="26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Scheduled tasks</w:t>
            </w:r>
          </w:p>
        </w:tc>
        <w:tc>
          <w:tcPr>
            <w:tcW w:w="6759"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No scheduler configured; no recurring task can run</w:t>
            </w:r>
          </w:p>
        </w:tc>
      </w:tr>
      <w:tr>
        <w:trPr/>
        <w:tc>
          <w:tcPr>
            <w:tcW w:w="26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Backups</w:t>
            </w:r>
          </w:p>
        </w:tc>
        <w:tc>
          <w:tcPr>
            <w:tcW w:w="6759"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Not configured on the current host; production position requires confirmation</w:t>
            </w:r>
          </w:p>
        </w:tc>
      </w:tr>
      <w:tr>
        <w:trPr/>
        <w:tc>
          <w:tcPr>
            <w:tcW w:w="26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Automated tests</w:t>
            </w:r>
          </w:p>
        </w:tc>
        <w:tc>
          <w:tcPr>
            <w:tcW w:w="6759"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144 of 147 passing; 3 failures are stale fixtures, not defects</w:t>
            </w:r>
          </w:p>
        </w:tc>
      </w:tr>
      <w:tr>
        <w:trPr/>
        <w:tc>
          <w:tcPr>
            <w:tcW w:w="26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Static analysis</w:t>
            </w:r>
          </w:p>
        </w:tc>
        <w:tc>
          <w:tcPr>
            <w:tcW w:w="6759"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Type checking and linting clean</w:t>
            </w:r>
          </w:p>
        </w:tc>
      </w:tr>
      <w:tr>
        <w:trPr/>
        <w:tc>
          <w:tcPr>
            <w:tcW w:w="26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Build</w:t>
            </w:r>
          </w:p>
        </w:tc>
        <w:tc>
          <w:tcPr>
            <w:tcW w:w="6759"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Both the server build and the static export compile successfully</w:t>
            </w:r>
          </w:p>
        </w:tc>
      </w:tr>
      <w:tr>
        <w:trPr/>
        <w:tc>
          <w:tcPr>
            <w:tcW w:w="2600"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Security posture</w:t>
            </w:r>
          </w:p>
        </w:tc>
        <w:tc>
          <w:tcPr>
            <w:tcW w:w="6759"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Access control implemented and enforced in the API. MFA, token expiry and soft deletion outstanding</w:t>
            </w:r>
          </w:p>
        </w:tc>
      </w:tr>
    </w:tbl>
    <w:p>
      <w:pPr>
        <w:pStyle w:val="Normal"/>
        <w:spacing w:before="0" w:after="200"/>
        <w:rPr/>
      </w:pPr>
      <w:r>
        <w:rPr/>
      </w:r>
    </w:p>
    <w:p>
      <w:pPr>
        <w:pStyle w:val="Heading1"/>
        <w:rPr/>
      </w:pPr>
      <w:r>
        <w:rPr/>
        <w:t>20. Challenges Encountered and Issues Resolved</w:t>
      </w:r>
    </w:p>
    <w:tbl>
      <w:tblPr>
        <w:tblW w:w="9360" w:type="dxa"/>
        <w:jc w:val="left"/>
        <w:tblInd w:w="0" w:type="dxa"/>
        <w:tblLayout w:type="fixed"/>
        <w:tblCellMar>
          <w:top w:w="80" w:type="dxa"/>
          <w:left w:w="110" w:type="dxa"/>
          <w:bottom w:w="80" w:type="dxa"/>
          <w:right w:w="110" w:type="dxa"/>
        </w:tblCellMar>
      </w:tblPr>
      <w:tblGrid>
        <w:gridCol w:w="4199"/>
        <w:gridCol w:w="5160"/>
      </w:tblGrid>
      <w:tr>
        <w:trPr>
          <w:tblHeader w:val="true"/>
        </w:trPr>
        <w:tc>
          <w:tcPr>
            <w:tcW w:w="4199"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Challenge</w:t>
            </w:r>
          </w:p>
        </w:tc>
        <w:tc>
          <w:tcPr>
            <w:tcW w:w="5160"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Resolution</w:t>
            </w:r>
          </w:p>
        </w:tc>
      </w:tr>
      <w:tr>
        <w:trPr/>
        <w:tc>
          <w:tcPr>
            <w:tcW w:w="41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Partner-submitted content could reach publication by setting flags directly in the API payload</w:t>
            </w:r>
          </w:p>
        </w:tc>
        <w:tc>
          <w:tcPr>
            <w:tcW w:w="51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Protected attributes are stripped on write for non-managing roles; workflow state is set by the server</w:t>
            </w:r>
          </w:p>
        </w:tc>
      </w:tr>
      <w:tr>
        <w:trPr/>
        <w:tc>
          <w:tcPr>
            <w:tcW w:w="41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Editing a published record took the live version down while it awaited review</w:t>
            </w:r>
          </w:p>
        </w:tc>
        <w:tc>
          <w:tcPr>
            <w:tcW w:w="51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Edits are parked as revisions with a field-by-field comparison; the published version stays live</w:t>
            </w:r>
          </w:p>
        </w:tc>
      </w:tr>
      <w:tr>
        <w:trPr/>
        <w:tc>
          <w:tcPr>
            <w:tcW w:w="41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Bulk publishing notified nobody, while the same record published from the review queue notified everyone</w:t>
            </w:r>
          </w:p>
        </w:tc>
        <w:tc>
          <w:tcPr>
            <w:tcW w:w="51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Notification fan-out extracted into a shared trait used by both paths</w:t>
            </w:r>
          </w:p>
        </w:tc>
      </w:tr>
      <w:tr>
        <w:trPr/>
        <w:tc>
          <w:tcPr>
            <w:tcW w:w="41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 stale prerendered page was served ahead of the current one after deployment</w:t>
            </w:r>
          </w:p>
        </w:tc>
        <w:tc>
          <w:tcPr>
            <w:tcW w:w="51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The static export directory is mirrored with deletion enabled; the rest of the tree stays additive</w:t>
            </w:r>
          </w:p>
        </w:tc>
      </w:tr>
      <w:tr>
        <w:trPr/>
        <w:tc>
          <w:tcPr>
            <w:tcW w:w="41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Rich-text fields introduced a stored cross-site-scripting risk reachable by partners</w:t>
            </w:r>
          </w:p>
        </w:tc>
        <w:tc>
          <w:tcPr>
            <w:tcW w:w="51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HTML is rebuilt from an allow-list on write and sanitised again on render</w:t>
            </w:r>
          </w:p>
        </w:tc>
      </w:tr>
      <w:tr>
        <w:trPr/>
        <w:tc>
          <w:tcPr>
            <w:tcW w:w="41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Rich-text content did not appear on first load, because React does not reconcile injected HTML during hydration</w:t>
            </w:r>
          </w:p>
        </w:tc>
        <w:tc>
          <w:tcPr>
            <w:tcW w:w="51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Rendering deferred to a post-hydration pass, which is the render that applies the markup</w:t>
            </w:r>
          </w:p>
        </w:tc>
      </w:tr>
      <w:tr>
        <w:trPr/>
        <w:tc>
          <w:tcPr>
            <w:tcW w:w="41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Partner and staff forms drifted apart, so a partner-authored record was missing fields an administrator would have recorded</w:t>
            </w:r>
          </w:p>
        </w:tc>
        <w:tc>
          <w:tcPr>
            <w:tcW w:w="51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Both schemas share one set of gating constants; FR-13.3 is enforced by construction</w:t>
            </w:r>
          </w:p>
        </w:tc>
      </w:tr>
      <w:tr>
        <w:trPr/>
        <w:tc>
          <w:tcPr>
            <w:tcW w:w="4199"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Two overlapping labels, Job and Vacancy, invited editors to guess which listing a posting would appear in</w:t>
            </w:r>
          </w:p>
        </w:tc>
        <w:tc>
          <w:tcPr>
            <w:tcW w:w="5160"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Merged into a single Job / Vacancy type across admin, partner portal and public site</w:t>
            </w:r>
          </w:p>
        </w:tc>
      </w:tr>
    </w:tbl>
    <w:p>
      <w:pPr>
        <w:pStyle w:val="Normal"/>
        <w:spacing w:before="0" w:after="200"/>
        <w:rPr/>
      </w:pPr>
      <w:r>
        <w:rPr/>
      </w:r>
    </w:p>
    <w:p>
      <w:pPr>
        <w:pStyle w:val="Heading1"/>
        <w:rPr/>
      </w:pPr>
      <w:r>
        <w:rPr/>
        <w:t>21. Outstanding Issues</w:t>
      </w:r>
    </w:p>
    <w:p>
      <w:pPr>
        <w:pStyle w:val="Heading2"/>
        <w:rPr/>
      </w:pPr>
      <w:r>
        <w:rPr/>
        <w:t>21.1 Requiring NREP decision</w:t>
      </w:r>
    </w:p>
    <w:p>
      <w:pPr>
        <w:pStyle w:val="ListParagraph"/>
        <w:numPr>
          <w:ilvl w:val="0"/>
          <w:numId w:val="1"/>
        </w:numPr>
        <w:rPr/>
      </w:pPr>
      <w:r>
        <w:rPr/>
        <w:t>Whether to implement or formally waive the SRS Section 5 and 6.1 controls listed in Section 14.2, notably multi-factor authentication, token expiry and soft deletion.</w:t>
      </w:r>
    </w:p>
    <w:p>
      <w:pPr>
        <w:pStyle w:val="ListParagraph"/>
        <w:numPr>
          <w:ilvl w:val="0"/>
          <w:numId w:val="1"/>
        </w:numPr>
        <w:rPr/>
      </w:pPr>
      <w:r>
        <w:rPr/>
        <w:t>The editorial service standard — what qualifies for publication, who reviews what, and the turnaround a partner may expect. The workflow is built; its service standard is a decision.</w:t>
      </w:r>
    </w:p>
    <w:p>
      <w:pPr>
        <w:pStyle w:val="ListParagraph"/>
        <w:numPr>
          <w:ilvl w:val="0"/>
          <w:numId w:val="1"/>
        </w:numPr>
        <w:rPr/>
      </w:pPr>
      <w:r>
        <w:rPr/>
        <w:t>Retention periods for registration data, public submissions and newsletter subscriptions.</w:t>
      </w:r>
    </w:p>
    <w:p>
      <w:pPr>
        <w:pStyle w:val="Heading2"/>
        <w:rPr/>
      </w:pPr>
      <w:r>
        <w:rPr/>
        <w:t>21.2 Requiring NREP action</w:t>
      </w:r>
    </w:p>
    <w:p>
      <w:pPr>
        <w:pStyle w:val="ListParagraph"/>
        <w:numPr>
          <w:ilvl w:val="0"/>
          <w:numId w:val="1"/>
        </w:numPr>
        <w:rPr/>
      </w:pPr>
      <w:r>
        <w:rPr/>
        <w:t>Replace all demonstration content with NREP-validated records.</w:t>
      </w:r>
    </w:p>
    <w:p>
      <w:pPr>
        <w:pStyle w:val="ListParagraph"/>
        <w:numPr>
          <w:ilvl w:val="0"/>
          <w:numId w:val="1"/>
        </w:numPr>
        <w:rPr/>
      </w:pPr>
      <w:r>
        <w:rPr/>
        <w:t>Configure an SMTP relay. Four otherwise complete features — address verification, newsletter confirmation, publication notices and rejection notices — reach nobody without it.</w:t>
      </w:r>
    </w:p>
    <w:p>
      <w:pPr>
        <w:pStyle w:val="ListParagraph"/>
        <w:numPr>
          <w:ilvl w:val="0"/>
          <w:numId w:val="1"/>
        </w:numPr>
        <w:rPr/>
      </w:pPr>
      <w:r>
        <w:rPr/>
        <w:t>Configure a task scheduler, without which no recurring work can run.</w:t>
      </w:r>
    </w:p>
    <w:p>
      <w:pPr>
        <w:pStyle w:val="ListParagraph"/>
        <w:numPr>
          <w:ilvl w:val="0"/>
          <w:numId w:val="1"/>
        </w:numPr>
        <w:rPr/>
      </w:pPr>
      <w:r>
        <w:rPr/>
        <w:t>Configure backups and rehearse a timed restore into a clean host; record the measured recovery time.</w:t>
      </w:r>
    </w:p>
    <w:p>
      <w:pPr>
        <w:pStyle w:val="ListParagraph"/>
        <w:numPr>
          <w:ilvl w:val="0"/>
          <w:numId w:val="1"/>
        </w:numPr>
        <w:rPr/>
      </w:pPr>
      <w:r>
        <w:rPr/>
        <w:t>Rotate the prototype administrator credentials, which are present in version control history and must be treated as public.</w:t>
      </w:r>
    </w:p>
    <w:p>
      <w:pPr>
        <w:pStyle w:val="ListParagraph"/>
        <w:numPr>
          <w:ilvl w:val="0"/>
          <w:numId w:val="1"/>
        </w:numPr>
        <w:rPr/>
      </w:pPr>
      <w:r>
        <w:rPr/>
        <w:t>Complete native-speaker review of the French and Kiswahili catalogues.</w:t>
      </w:r>
    </w:p>
    <w:p>
      <w:pPr>
        <w:pStyle w:val="ListParagraph"/>
        <w:numPr>
          <w:ilvl w:val="0"/>
          <w:numId w:val="1"/>
        </w:numPr>
        <w:rPr/>
      </w:pPr>
      <w:r>
        <w:rPr/>
        <w:t>Publish a privacy notice.</w:t>
      </w:r>
    </w:p>
    <w:p>
      <w:pPr>
        <w:pStyle w:val="ListParagraph"/>
        <w:numPr>
          <w:ilvl w:val="0"/>
          <w:numId w:val="1"/>
        </w:numPr>
        <w:rPr/>
      </w:pPr>
      <w:r>
        <w:rPr/>
        <w:t>Nominate at least two super administrators; a single holder of the highest-privilege account is an operational risk independent of the software.</w:t>
      </w:r>
    </w:p>
    <w:p>
      <w:pPr>
        <w:pStyle w:val="Heading2"/>
        <w:rPr/>
      </w:pPr>
      <w:r>
        <w:rPr/>
        <w:t>21.3 Requiring development</w:t>
      </w:r>
    </w:p>
    <w:p>
      <w:pPr>
        <w:pStyle w:val="ListParagraph"/>
        <w:numPr>
          <w:ilvl w:val="0"/>
          <w:numId w:val="1"/>
        </w:numPr>
        <w:rPr/>
      </w:pPr>
      <w:r>
        <w:rPr/>
        <w:t>The site configuration and taxonomy administration screens. Both API endpoints exist and are unused, so this is interface work only — and until it is done, NREP depends on a developer for changes the SRS intended to be self-service.</w:t>
      </w:r>
    </w:p>
    <w:p>
      <w:pPr>
        <w:pStyle w:val="ListParagraph"/>
        <w:numPr>
          <w:ilvl w:val="0"/>
          <w:numId w:val="1"/>
        </w:numPr>
        <w:rPr/>
      </w:pPr>
      <w:r>
        <w:rPr/>
        <w:t>Coordinate bounds validation (FR-10.8) and map clustering (FR-10.9).</w:t>
      </w:r>
    </w:p>
    <w:p>
      <w:pPr>
        <w:pStyle w:val="ListParagraph"/>
        <w:numPr>
          <w:ilvl w:val="0"/>
          <w:numId w:val="1"/>
        </w:numPr>
        <w:rPr/>
      </w:pPr>
      <w:r>
        <w:rPr/>
        <w:t>Server-side pagination and filtering (FR-15.12).</w:t>
      </w:r>
    </w:p>
    <w:p>
      <w:pPr>
        <w:pStyle w:val="ListParagraph"/>
        <w:numPr>
          <w:ilvl w:val="0"/>
          <w:numId w:val="1"/>
        </w:numPr>
        <w:rPr/>
      </w:pPr>
      <w:r>
        <w:rPr/>
        <w:t>Search filters beyond content type (FR-11.3).</w:t>
      </w:r>
    </w:p>
    <w:p>
      <w:pPr>
        <w:pStyle w:val="ListParagraph"/>
        <w:numPr>
          <w:ilvl w:val="0"/>
          <w:numId w:val="1"/>
        </w:numPr>
        <w:rPr/>
      </w:pPr>
      <w:r>
        <w:rPr/>
        <w:t>Enquiry acknowledgement dispatch (FR-12.2).</w:t>
      </w:r>
    </w:p>
    <w:p>
      <w:pPr>
        <w:pStyle w:val="ListParagraph"/>
        <w:numPr>
          <w:ilvl w:val="0"/>
          <w:numId w:val="1"/>
        </w:numPr>
        <w:rPr/>
      </w:pPr>
      <w:r>
        <w:rPr/>
        <w:t>Correction of the three stale test fixtures.</w:t>
      </w:r>
    </w:p>
    <w:p>
      <w:pPr>
        <w:pStyle w:val="Heading1"/>
        <w:rPr/>
      </w:pPr>
      <w:r>
        <w:rPr/>
        <w:t>22. Risks</w:t>
      </w:r>
    </w:p>
    <w:tbl>
      <w:tblPr>
        <w:tblW w:w="9360" w:type="dxa"/>
        <w:jc w:val="left"/>
        <w:tblInd w:w="0" w:type="dxa"/>
        <w:tblLayout w:type="fixed"/>
        <w:tblCellMar>
          <w:top w:w="80" w:type="dxa"/>
          <w:left w:w="110" w:type="dxa"/>
          <w:bottom w:w="80" w:type="dxa"/>
          <w:right w:w="110" w:type="dxa"/>
        </w:tblCellMar>
      </w:tblPr>
      <w:tblGrid>
        <w:gridCol w:w="2399"/>
        <w:gridCol w:w="3201"/>
        <w:gridCol w:w="3760"/>
      </w:tblGrid>
      <w:tr>
        <w:trPr>
          <w:tblHeader w:val="true"/>
        </w:trPr>
        <w:tc>
          <w:tcPr>
            <w:tcW w:w="2399"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Risk</w:t>
            </w:r>
          </w:p>
        </w:tc>
        <w:tc>
          <w:tcPr>
            <w:tcW w:w="3201" w:type="dxa"/>
            <w:tcBorders>
              <w:top w:val="single" w:sz="4" w:space="0" w:color="C8D6CE"/>
              <w:left w:val="single" w:sz="2"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Likelihood and impact</w:t>
            </w:r>
          </w:p>
        </w:tc>
        <w:tc>
          <w:tcPr>
            <w:tcW w:w="3760"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Mitigation</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Demonstration content is published as real</w:t>
            </w:r>
          </w:p>
        </w:tc>
        <w:tc>
          <w:tcPr>
            <w:tcW w:w="320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Low likelihood, severe impact — it would misrepresent the sector under a national brand</w:t>
            </w:r>
          </w:p>
        </w:tc>
        <w:tc>
          <w:tcPr>
            <w:tcW w:w="37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Treat the content load as a launch gate, as SRS Section 10 states</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Data loss through deletion</w:t>
            </w:r>
          </w:p>
        </w:tc>
        <w:tc>
          <w:tcPr>
            <w:tcW w:w="320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Moderate, severe — no soft deletion, bulk delete exposed, backups unconfirmed</w:t>
            </w:r>
          </w:p>
        </w:tc>
        <w:tc>
          <w:tcPr>
            <w:tcW w:w="37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Implement soft deletion; configure and rehearse backups</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Privileged account compromise</w:t>
            </w:r>
          </w:p>
        </w:tc>
        <w:tc>
          <w:tcPr>
            <w:tcW w:w="320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Low, severe — these accounts publish to a national platform</w:t>
            </w:r>
          </w:p>
        </w:tc>
        <w:tc>
          <w:tcPr>
            <w:tcW w:w="37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Implement MFA and token expiry; rotate prototype credentials; nominate a second super administrator</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Platform launches and is not adopted</w:t>
            </w:r>
          </w:p>
        </w:tc>
        <w:tc>
          <w:tcPr>
            <w:tcW w:w="320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Moderate, high — adoption depends on content density and partner onboarding, not on software</w:t>
            </w:r>
          </w:p>
        </w:tc>
        <w:tc>
          <w:tcPr>
            <w:tcW w:w="37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Populate before promoting; run contributor onboarding cohorts; publish and meet a review turnaround</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Reach cannot be evidenced to funders</w:t>
            </w:r>
          </w:p>
        </w:tc>
        <w:tc>
          <w:tcPr>
            <w:tcW w:w="320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High, moderate — no usage measurement exists</w:t>
            </w:r>
          </w:p>
        </w:tc>
        <w:tc>
          <w:tcPr>
            <w:tcW w:w="37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Add privacy-respecting usage analytics, per SRS Section 11.3</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Silent regression after handover</w:t>
            </w:r>
          </w:p>
        </w:tc>
        <w:tc>
          <w:tcPr>
            <w:tcW w:w="320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Moderate, moderate — no CI, and three tests currently failing</w:t>
            </w:r>
          </w:p>
        </w:tc>
        <w:tc>
          <w:tcPr>
            <w:tcW w:w="37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Fix the fixtures; add a CI pipeline running tests and type checks on every change</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Content goes stale</w:t>
            </w:r>
          </w:p>
        </w:tc>
        <w:tc>
          <w:tcPr>
            <w:tcW w:w="320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Moderate, moderate — credibility depends on currency</w:t>
            </w:r>
          </w:p>
        </w:tc>
        <w:tc>
          <w:tcPr>
            <w:tcW w:w="37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Assign a content review cycle; use the Content Inventory report, which lists records untouched for twelve months</w:t>
            </w:r>
          </w:p>
        </w:tc>
      </w:tr>
      <w:tr>
        <w:trPr/>
        <w:tc>
          <w:tcPr>
            <w:tcW w:w="2399"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Key-person dependency</w:t>
            </w:r>
          </w:p>
        </w:tc>
        <w:tc>
          <w:tcPr>
            <w:tcW w:w="3201" w:type="dxa"/>
            <w:tcBorders>
              <w:top w:val="single" w:sz="2" w:space="0" w:color="C8D6CE"/>
              <w:left w:val="single" w:sz="2"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Moderate, moderate</w:t>
            </w:r>
          </w:p>
        </w:tc>
        <w:tc>
          <w:tcPr>
            <w:tcW w:w="3760"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Name a content owner and a technical owner; complete role-based training</w:t>
            </w:r>
          </w:p>
        </w:tc>
      </w:tr>
    </w:tbl>
    <w:p>
      <w:pPr>
        <w:pStyle w:val="Normal"/>
        <w:spacing w:before="0" w:after="200"/>
        <w:rPr/>
      </w:pPr>
      <w:r>
        <w:rPr/>
      </w:r>
    </w:p>
    <w:p>
      <w:pPr>
        <w:pStyle w:val="Heading1"/>
        <w:rPr/>
      </w:pPr>
      <w:r>
        <w:rPr/>
        <w:t>23. Lessons Learned</w:t>
      </w:r>
    </w:p>
    <w:p>
      <w:pPr>
        <w:pStyle w:val="ListParagraph"/>
        <w:numPr>
          <w:ilvl w:val="0"/>
          <w:numId w:val="1"/>
        </w:numPr>
        <w:rPr/>
      </w:pPr>
      <w:r>
        <w:rPr/>
        <w:t>Centralising authorisation early paid for itself. Because gates, the content policy and role groups each live in one place, adding organisation-scoped roles and a second approval stage late in the project was a contained change rather than an audit of every controller.</w:t>
      </w:r>
    </w:p>
    <w:p>
      <w:pPr>
        <w:pStyle w:val="ListParagraph"/>
        <w:numPr>
          <w:ilvl w:val="0"/>
          <w:numId w:val="1"/>
        </w:numPr>
        <w:rPr/>
      </w:pPr>
      <w:r>
        <w:rPr/>
        <w:t>An as-built specification is more useful than a forecast one, but it must distinguish what was delivered from what is aspired to. SRS Version 2.0 states unimplemented enterprise controls in the same present tense as delivered features, which is why this report separates them explicitly.</w:t>
      </w:r>
    </w:p>
    <w:p>
      <w:pPr>
        <w:pStyle w:val="ListParagraph"/>
        <w:numPr>
          <w:ilvl w:val="0"/>
          <w:numId w:val="1"/>
        </w:numPr>
        <w:rPr/>
      </w:pPr>
      <w:r>
        <w:rPr/>
        <w:t>A shared schema for partner and staff forms prevented a class of defect outright. Where the two had diverged, partner-authored records arrived missing fields and someone re-keyed them by hand.</w:t>
      </w:r>
    </w:p>
    <w:p>
      <w:pPr>
        <w:pStyle w:val="ListParagraph"/>
        <w:numPr>
          <w:ilvl w:val="0"/>
          <w:numId w:val="1"/>
        </w:numPr>
        <w:rPr/>
      </w:pPr>
      <w:r>
        <w:rPr/>
        <w:t>Automated tests caught regressions in access control and workflow reliably; they could not catch rendering defects. At least one defect — rich text not appearing on first load — passed every backend test and type check and was only found by looking at the running page.</w:t>
      </w:r>
    </w:p>
    <w:p>
      <w:pPr>
        <w:pStyle w:val="ListParagraph"/>
        <w:numPr>
          <w:ilvl w:val="0"/>
          <w:numId w:val="1"/>
        </w:numPr>
        <w:rPr/>
      </w:pPr>
      <w:r>
        <w:rPr/>
        <w:t>Measuring content is not measuring use. The reporting module was specified, built and accepted before anyone noticed it cannot answer the question a funder actually asks.</w:t>
      </w:r>
    </w:p>
    <w:p>
      <w:pPr>
        <w:pStyle w:val="ListParagraph"/>
        <w:numPr>
          <w:ilvl w:val="0"/>
          <w:numId w:val="1"/>
        </w:numPr>
        <w:rPr/>
      </w:pPr>
      <w:r>
        <w:rPr/>
        <w:t>Controlled vocabularies diverge unless they have one owner. Three lists for value chains now exist, and the same concept appears as Fish, Aquaculture and Fisheries in different parts of the system.</w:t>
      </w:r>
    </w:p>
    <w:p>
      <w:pPr>
        <w:pStyle w:val="Heading1"/>
        <w:rPr/>
      </w:pPr>
      <w:r>
        <w:rPr/>
        <w:t>24. Sustainability Considerations</w:t>
      </w:r>
    </w:p>
    <w:p>
      <w:pPr>
        <w:pStyle w:val="ListParagraph"/>
        <w:numPr>
          <w:ilvl w:val="0"/>
          <w:numId w:val="1"/>
        </w:numPr>
        <w:rPr/>
      </w:pPr>
      <w:r>
        <w:rPr/>
        <w:t>Technology choices are mainstream and long-supported — Laravel, PostgreSQL, Next.js — so NREP is not dependent on a niche skill set to maintain the platform.</w:t>
      </w:r>
    </w:p>
    <w:p>
      <w:pPr>
        <w:pStyle w:val="ListParagraph"/>
        <w:numPr>
          <w:ilvl w:val="0"/>
          <w:numId w:val="1"/>
        </w:numPr>
        <w:rPr/>
      </w:pPr>
      <w:r>
        <w:rPr/>
        <w:t>The codebase is documented inline and organised so that adding a content type is a declaration rather than a reimplementation.</w:t>
      </w:r>
    </w:p>
    <w:p>
      <w:pPr>
        <w:pStyle w:val="ListParagraph"/>
        <w:numPr>
          <w:ilvl w:val="0"/>
          <w:numId w:val="1"/>
        </w:numPr>
        <w:rPr/>
      </w:pPr>
      <w:r>
        <w:rPr/>
        <w:t>The API is versioned and documented, so an integration built against it will not break on internal change.</w:t>
      </w:r>
    </w:p>
    <w:p>
      <w:pPr>
        <w:pStyle w:val="ListParagraph"/>
        <w:numPr>
          <w:ilvl w:val="0"/>
          <w:numId w:val="1"/>
        </w:numPr>
        <w:rPr/>
      </w:pPr>
      <w:r>
        <w:rPr/>
        <w:t>Operating costs are modest at current scale; the scaling points and their thresholds are stated in AED-02 so that expenditure can be planned rather than triggered by failure.</w:t>
      </w:r>
    </w:p>
    <w:p>
      <w:pPr>
        <w:pStyle w:val="ListParagraph"/>
        <w:numPr>
          <w:ilvl w:val="0"/>
          <w:numId w:val="1"/>
        </w:numPr>
        <w:rPr/>
      </w:pPr>
      <w:r>
        <w:rPr/>
        <w:t>Sustainability depends more on NREP's operating commitments than on the software: named owners, a review turnaround that is met, a content review cycle, and monthly reporting from the platform into NREP's existing coordination reporting.</w:t>
      </w:r>
    </w:p>
    <w:p>
      <w:pPr>
        <w:pStyle w:val="Heading1"/>
        <w:rPr/>
      </w:pPr>
      <w:r>
        <w:rPr/>
        <w:t>25. Recommendations for Further Implementation</w:t>
      </w:r>
    </w:p>
    <w:p>
      <w:pPr>
        <w:pStyle w:val="Heading2"/>
        <w:rPr/>
      </w:pPr>
      <w:r>
        <w:rPr/>
        <w:t>25.1 Before go-live</w:t>
      </w:r>
    </w:p>
    <w:p>
      <w:pPr>
        <w:pStyle w:val="ListParagraph"/>
        <w:numPr>
          <w:ilvl w:val="0"/>
          <w:numId w:val="2"/>
        </w:numPr>
        <w:rPr/>
      </w:pPr>
      <w:r>
        <w:rPr/>
        <w:t>Replace demonstration content with NREP-validated records.</w:t>
      </w:r>
    </w:p>
    <w:p>
      <w:pPr>
        <w:pStyle w:val="ListParagraph"/>
        <w:numPr>
          <w:ilvl w:val="0"/>
          <w:numId w:val="2"/>
        </w:numPr>
        <w:rPr/>
      </w:pPr>
      <w:r>
        <w:rPr/>
        <w:t>Configure SMTP and verify each of the four email flows end to end.</w:t>
      </w:r>
    </w:p>
    <w:p>
      <w:pPr>
        <w:pStyle w:val="ListParagraph"/>
        <w:numPr>
          <w:ilvl w:val="0"/>
          <w:numId w:val="2"/>
        </w:numPr>
        <w:rPr/>
      </w:pPr>
      <w:r>
        <w:rPr/>
        <w:t>Configure backups and rehearse a timed restore; record the recovery time.</w:t>
      </w:r>
    </w:p>
    <w:p>
      <w:pPr>
        <w:pStyle w:val="ListParagraph"/>
        <w:numPr>
          <w:ilvl w:val="0"/>
          <w:numId w:val="2"/>
        </w:numPr>
        <w:rPr/>
      </w:pPr>
      <w:r>
        <w:rPr/>
        <w:t>Rotate the prototype administrator credentials.</w:t>
      </w:r>
    </w:p>
    <w:p>
      <w:pPr>
        <w:pStyle w:val="ListParagraph"/>
        <w:numPr>
          <w:ilvl w:val="0"/>
          <w:numId w:val="2"/>
        </w:numPr>
        <w:rPr/>
      </w:pPr>
      <w:r>
        <w:rPr/>
        <w:t>Decide the Section 14.2 security controls: implement or waive, and record the decision.</w:t>
      </w:r>
    </w:p>
    <w:p>
      <w:pPr>
        <w:pStyle w:val="ListParagraph"/>
        <w:numPr>
          <w:ilvl w:val="0"/>
          <w:numId w:val="2"/>
        </w:numPr>
        <w:rPr/>
      </w:pPr>
      <w:r>
        <w:rPr/>
        <w:t>Build the site configuration and taxonomy screens, removing the developer dependency for routine changes.</w:t>
      </w:r>
    </w:p>
    <w:p>
      <w:pPr>
        <w:pStyle w:val="ListParagraph"/>
        <w:numPr>
          <w:ilvl w:val="0"/>
          <w:numId w:val="2"/>
        </w:numPr>
        <w:rPr/>
      </w:pPr>
      <w:r>
        <w:rPr/>
        <w:t>Publish a privacy notice and set retention periods.</w:t>
      </w:r>
    </w:p>
    <w:p>
      <w:pPr>
        <w:pStyle w:val="ListParagraph"/>
        <w:numPr>
          <w:ilvl w:val="0"/>
          <w:numId w:val="2"/>
        </w:numPr>
        <w:rPr/>
      </w:pPr>
      <w:r>
        <w:rPr/>
        <w:t>Complete the French and Kiswahili translation review.</w:t>
      </w:r>
    </w:p>
    <w:p>
      <w:pPr>
        <w:pStyle w:val="ListParagraph"/>
        <w:numPr>
          <w:ilvl w:val="0"/>
          <w:numId w:val="2"/>
        </w:numPr>
        <w:rPr/>
      </w:pPr>
      <w:r>
        <w:rPr/>
        <w:t>Add a generated sitemap and per-page metadata. For a national knowledge platform most first visits begin at a search engine, not the homepage.</w:t>
      </w:r>
    </w:p>
    <w:p>
      <w:pPr>
        <w:pStyle w:val="ListParagraph"/>
        <w:numPr>
          <w:ilvl w:val="0"/>
          <w:numId w:val="2"/>
        </w:numPr>
        <w:rPr/>
      </w:pPr>
      <w:r>
        <w:rPr/>
        <w:t>Fix the three stale test fixtures and add a CI pipeline.</w:t>
      </w:r>
    </w:p>
    <w:p>
      <w:pPr>
        <w:pStyle w:val="Heading2"/>
        <w:rPr/>
      </w:pPr>
      <w:r>
        <w:rPr/>
        <w:t>25.2 Recommended future enhancements</w:t>
      </w:r>
    </w:p>
    <w:tbl>
      <w:tblPr>
        <w:tblW w:w="9360" w:type="dxa"/>
        <w:jc w:val="left"/>
        <w:tblInd w:w="0" w:type="dxa"/>
        <w:tblLayout w:type="fixed"/>
        <w:tblCellMar>
          <w:top w:w="80" w:type="dxa"/>
          <w:left w:w="110" w:type="dxa"/>
          <w:bottom w:w="80" w:type="dxa"/>
          <w:right w:w="110" w:type="dxa"/>
        </w:tblCellMar>
      </w:tblPr>
      <w:tblGrid>
        <w:gridCol w:w="2399"/>
        <w:gridCol w:w="4501"/>
        <w:gridCol w:w="2460"/>
      </w:tblGrid>
      <w:tr>
        <w:trPr>
          <w:tblHeader w:val="true"/>
        </w:trPr>
        <w:tc>
          <w:tcPr>
            <w:tcW w:w="2399"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Enhancement</w:t>
            </w:r>
          </w:p>
        </w:tc>
        <w:tc>
          <w:tcPr>
            <w:tcW w:w="4501" w:type="dxa"/>
            <w:tcBorders>
              <w:top w:val="single" w:sz="4" w:space="0" w:color="C8D6CE"/>
              <w:left w:val="single" w:sz="2"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Rationale</w:t>
            </w:r>
          </w:p>
        </w:tc>
        <w:tc>
          <w:tcPr>
            <w:tcW w:w="2460"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Indicative effort</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Privacy-respecting usage analytics</w:t>
            </w:r>
          </w:p>
        </w:tc>
        <w:tc>
          <w:tcPr>
            <w:tcW w:w="450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The platform cannot presently evidence its reach. This is the number NREP will be asked for, and it is the precondition for every sustainability conversation</w:t>
            </w:r>
          </w:p>
        </w:tc>
        <w:tc>
          <w:tcPr>
            <w:tcW w:w="2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Medium</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Soft deletion and vocabulary reconciliation</w:t>
            </w:r>
          </w:p>
        </w:tc>
        <w:tc>
          <w:tcPr>
            <w:tcW w:w="450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The two highest-value data-integrity changes available, and both are small</w:t>
            </w:r>
          </w:p>
        </w:tc>
        <w:tc>
          <w:tcPr>
            <w:tcW w:w="2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Small</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Public policy library section</w:t>
            </w:r>
          </w:p>
        </w:tc>
        <w:tc>
          <w:tcPr>
            <w:tcW w:w="450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Policies are already managed and served by the API; a public section completes the knowledge offering at low cost</w:t>
            </w:r>
          </w:p>
        </w:tc>
        <w:tc>
          <w:tcPr>
            <w:tcW w:w="2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Small</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Saved searches and content alerts</w:t>
            </w:r>
          </w:p>
        </w:tc>
        <w:tc>
          <w:tcPr>
            <w:tcW w:w="450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Converts the platform from a place people remember to visit into one that reaches them</w:t>
            </w:r>
          </w:p>
        </w:tc>
        <w:tc>
          <w:tcPr>
            <w:tcW w:w="2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Medium</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Bulk import for projects and partners</w:t>
            </w:r>
          </w:p>
        </w:tc>
        <w:tc>
          <w:tcPr>
            <w:tcW w:w="450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The first content load, and each onboarding round, would otherwise be entered one record at a time</w:t>
            </w:r>
          </w:p>
        </w:tc>
        <w:tc>
          <w:tcPr>
            <w:tcW w:w="2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Medium</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Duplication and coverage-gap detection</w:t>
            </w:r>
          </w:p>
        </w:tc>
        <w:tc>
          <w:tcPr>
            <w:tcW w:w="450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Addresses the ToR's stated problem — duplication of interventions — from data already held</w:t>
            </w:r>
          </w:p>
        </w:tc>
        <w:tc>
          <w:tcPr>
            <w:tcW w:w="2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Medium</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Event registration and attendance</w:t>
            </w:r>
          </w:p>
        </w:tc>
        <w:tc>
          <w:tcPr>
            <w:tcW w:w="450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Disaggregated training attendance is the most conventional donor indicator in the sector, and NREP cannot currently produce it</w:t>
            </w:r>
          </w:p>
        </w:tc>
        <w:tc>
          <w:tcPr>
            <w:tcW w:w="2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Large</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Investment matchmaking</w:t>
            </w:r>
          </w:p>
        </w:tc>
        <w:tc>
          <w:tcPr>
            <w:tcW w:w="450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Named in the ToR and SRS Section 7.1.3. Note that the vocabularies on the two sides must be reconciled first</w:t>
            </w:r>
          </w:p>
        </w:tc>
        <w:tc>
          <w:tcPr>
            <w:tcW w:w="2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Large</w:t>
            </w:r>
          </w:p>
        </w:tc>
      </w:tr>
      <w:tr>
        <w:trPr/>
        <w:tc>
          <w:tcPr>
            <w:tcW w:w="2399"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GIS deep dive and external integrations</w:t>
            </w:r>
          </w:p>
        </w:tc>
        <w:tc>
          <w:tcPr>
            <w:tcW w:w="4501" w:type="dxa"/>
            <w:tcBorders>
              <w:top w:val="single" w:sz="2" w:space="0" w:color="C8D6CE"/>
              <w:left w:val="single" w:sz="2"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Phase-two components for which the architecture already provides extension points</w:t>
            </w:r>
          </w:p>
        </w:tc>
        <w:tc>
          <w:tcPr>
            <w:tcW w:w="2460"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Large</w:t>
            </w:r>
          </w:p>
        </w:tc>
      </w:tr>
    </w:tbl>
    <w:p>
      <w:pPr>
        <w:pStyle w:val="Normal"/>
        <w:spacing w:before="0" w:after="200"/>
        <w:rPr/>
      </w:pPr>
      <w:r>
        <w:rPr/>
      </w:r>
    </w:p>
    <w:p>
      <w:pPr>
        <w:pStyle w:val="Heading1"/>
        <w:rPr/>
      </w:pPr>
      <w:r>
        <w:rPr/>
        <w:t>26. Implementation Roadmap</w:t>
      </w:r>
    </w:p>
    <w:tbl>
      <w:tblPr>
        <w:tblW w:w="9360" w:type="dxa"/>
        <w:jc w:val="left"/>
        <w:tblInd w:w="0" w:type="dxa"/>
        <w:tblLayout w:type="fixed"/>
        <w:tblCellMar>
          <w:top w:w="80" w:type="dxa"/>
          <w:left w:w="110" w:type="dxa"/>
          <w:bottom w:w="80" w:type="dxa"/>
          <w:right w:w="110" w:type="dxa"/>
        </w:tblCellMar>
      </w:tblPr>
      <w:tblGrid>
        <w:gridCol w:w="2000"/>
        <w:gridCol w:w="2199"/>
        <w:gridCol w:w="5161"/>
      </w:tblGrid>
      <w:tr>
        <w:trPr>
          <w:tblHeader w:val="true"/>
        </w:trPr>
        <w:tc>
          <w:tcPr>
            <w:tcW w:w="2000"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Phase</w:t>
            </w:r>
          </w:p>
        </w:tc>
        <w:tc>
          <w:tcPr>
            <w:tcW w:w="2199" w:type="dxa"/>
            <w:tcBorders>
              <w:top w:val="single" w:sz="4" w:space="0" w:color="C8D6CE"/>
              <w:left w:val="single" w:sz="2"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Focus</w:t>
            </w:r>
          </w:p>
        </w:tc>
        <w:tc>
          <w:tcPr>
            <w:tcW w:w="5161"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Contents</w:t>
            </w:r>
          </w:p>
        </w:tc>
      </w:tr>
      <w:tr>
        <w:trPr/>
        <w:tc>
          <w:tcPr>
            <w:tcW w:w="20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Phase A — Launch readiness</w:t>
            </w:r>
          </w:p>
        </w:tc>
        <w:tc>
          <w:tcPr>
            <w:tcW w:w="21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Conditions for public launch</w:t>
            </w:r>
          </w:p>
        </w:tc>
        <w:tc>
          <w:tcPr>
            <w:tcW w:w="516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Content load; SMTP; backups and rehearsed restore; credential rotation; security decisions; site configuration and taxonomy screens; privacy notice; translation review; sitemap and metadata; CI and fixture repair</w:t>
            </w:r>
          </w:p>
        </w:tc>
      </w:tr>
      <w:tr>
        <w:trPr/>
        <w:tc>
          <w:tcPr>
            <w:tcW w:w="20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Phase B — Consolidation</w:t>
            </w:r>
          </w:p>
        </w:tc>
        <w:tc>
          <w:tcPr>
            <w:tcW w:w="21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Close the known gaps</w:t>
            </w:r>
          </w:p>
        </w:tc>
        <w:tc>
          <w:tcPr>
            <w:tcW w:w="516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Soft deletion; vocabulary reconciliation and backfill; coordinate validation; search filters; enquiry acknowledgement; server-side pagination; public policy section</w:t>
            </w:r>
          </w:p>
        </w:tc>
      </w:tr>
      <w:tr>
        <w:trPr/>
        <w:tc>
          <w:tcPr>
            <w:tcW w:w="20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Phase C — Evidence and reach</w:t>
            </w:r>
          </w:p>
        </w:tc>
        <w:tc>
          <w:tcPr>
            <w:tcW w:w="21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Make the platform measurable and sticky</w:t>
            </w:r>
          </w:p>
        </w:tc>
        <w:tc>
          <w:tcPr>
            <w:tcW w:w="516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Usage analytics and two reach reports; saved searches and alerts; bulk import; coverage-gap detection; API consumer registry</w:t>
            </w:r>
          </w:p>
        </w:tc>
      </w:tr>
      <w:tr>
        <w:trPr/>
        <w:tc>
          <w:tcPr>
            <w:tcW w:w="2000"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Phase D — Expansion</w:t>
            </w:r>
          </w:p>
        </w:tc>
        <w:tc>
          <w:tcPr>
            <w:tcW w:w="2199" w:type="dxa"/>
            <w:tcBorders>
              <w:top w:val="single" w:sz="2" w:space="0" w:color="C8D6CE"/>
              <w:left w:val="single" w:sz="2"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The phase-two components the SRS anticipates</w:t>
            </w:r>
          </w:p>
        </w:tc>
        <w:tc>
          <w:tcPr>
            <w:tcW w:w="5161"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Event registration and attendance; investment matchmaking; GIS deep dive; external system integrations; production cloud topology</w:t>
            </w:r>
          </w:p>
        </w:tc>
      </w:tr>
    </w:tbl>
    <w:p>
      <w:pPr>
        <w:pStyle w:val="Normal"/>
        <w:spacing w:before="0" w:after="200"/>
        <w:rPr/>
      </w:pPr>
      <w:r>
        <w:rPr/>
      </w:r>
    </w:p>
    <w:p>
      <w:pPr>
        <w:pStyle w:val="Normal"/>
        <w:rPr/>
      </w:pPr>
      <w:r>
        <w:rPr/>
        <w:t>The phases are ordered by dependency rather than by ambition. Phase A is a precondition for launch; Phase B closes what is already specified; Phase C produces the evidence that justifies Phase D.</w:t>
      </w:r>
    </w:p>
    <w:p>
      <w:pPr>
        <w:pStyle w:val="Heading1"/>
        <w:rPr/>
      </w:pPr>
      <w:r>
        <w:rPr/>
        <w:t>27. Conclusion</w:t>
      </w:r>
    </w:p>
    <w:p>
      <w:pPr>
        <w:pStyle w:val="Normal"/>
        <w:rPr/>
      </w:pPr>
      <w:r>
        <w:rPr/>
        <w:t>The Agri-Energy Desk has been delivered as specified in the approved SRS Version 2.0 across its functional scope. It consolidates in one national platform the projects, technologies, themes, organisations, resources, events and opportunities that were previously dispersed across institutions, and it gives NREP the editorial control, the contribution routes and the reporting tools to maintain that consolidation.</w:t>
      </w:r>
    </w:p>
    <w:p>
      <w:pPr>
        <w:pStyle w:val="Normal"/>
        <w:rPr/>
      </w:pPr>
      <w:r>
        <w:rPr/>
        <w:t>Seventy-one of the 78 numbered functional requirements are fully implemented and verifiable; four are partial, three are outstanding, and one was changed after approval at NREP's direction. Twelve enhancements were delivered beyond the baseline, six of them closing recommendations the SRS itself raised.</w:t>
      </w:r>
    </w:p>
    <w:p>
      <w:pPr>
        <w:pStyle w:val="Normal"/>
        <w:rPr/>
      </w:pPr>
      <w:r>
        <w:rPr/>
        <w:t>The platform is not yet ready for public launch, and this report does not present it as such. The conditions for launch are stated in Section 25.1 and are, without exception, bounded and well understood. None of them is structural; none requires redevelopment.</w:t>
      </w:r>
    </w:p>
    <w:p>
      <w:pPr>
        <w:pStyle w:val="Normal"/>
        <w:rPr/>
      </w:pPr>
      <w:r>
        <w:rPr/>
        <w:t>What will determine whether the platform succeeds is largely not software. The architecture, the data model and the workflow will support a national knowledge platform for the sector. Whether it becomes one depends on the content NREP loads, the partners it onboards, the review turnaround it commits to and meets, and the ownership it assigns. The recommendations in Section 25 are ordered with that in mind.</w:t>
      </w:r>
    </w:p>
    <w:p>
      <w:pPr>
        <w:pStyle w:val="Heading1"/>
        <w:rPr/>
      </w:pPr>
      <w:r>
        <w:rPr/>
        <w:t>28. Appendices</w:t>
      </w:r>
    </w:p>
    <w:p>
      <w:pPr>
        <w:pStyle w:val="Heading2"/>
        <w:rPr/>
      </w:pPr>
      <w:r>
        <w:rPr/>
        <w:t>Appendix A — Companion documents</w:t>
      </w:r>
    </w:p>
    <w:tbl>
      <w:tblPr>
        <w:tblW w:w="9360" w:type="dxa"/>
        <w:jc w:val="left"/>
        <w:tblInd w:w="0" w:type="dxa"/>
        <w:tblLayout w:type="fixed"/>
        <w:tblCellMar>
          <w:top w:w="80" w:type="dxa"/>
          <w:left w:w="110" w:type="dxa"/>
          <w:bottom w:w="80" w:type="dxa"/>
          <w:right w:w="110" w:type="dxa"/>
        </w:tblCellMar>
      </w:tblPr>
      <w:tblGrid>
        <w:gridCol w:w="1599"/>
        <w:gridCol w:w="7760"/>
      </w:tblGrid>
      <w:tr>
        <w:trPr>
          <w:tblHeader w:val="true"/>
        </w:trPr>
        <w:tc>
          <w:tcPr>
            <w:tcW w:w="1599"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Reference</w:t>
            </w:r>
          </w:p>
        </w:tc>
        <w:tc>
          <w:tcPr>
            <w:tcW w:w="7760"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Document</w:t>
            </w:r>
          </w:p>
        </w:tc>
      </w:tr>
      <w:tr>
        <w:trPr/>
        <w:tc>
          <w:tcPr>
            <w:tcW w:w="15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AED-01</w:t>
            </w:r>
          </w:p>
        </w:tc>
        <w:tc>
          <w:tcPr>
            <w:tcW w:w="77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Enhanced Platform Development Report — requirement-by-requirement traceability against the approved SRS</w:t>
            </w:r>
          </w:p>
        </w:tc>
      </w:tr>
      <w:tr>
        <w:trPr/>
        <w:tc>
          <w:tcPr>
            <w:tcW w:w="15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AED-02</w:t>
            </w:r>
          </w:p>
        </w:tc>
        <w:tc>
          <w:tcPr>
            <w:tcW w:w="77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Agri-Energy Desk Data Architecture — the implemented data architecture, verified against the running database</w:t>
            </w:r>
          </w:p>
        </w:tc>
      </w:tr>
      <w:tr>
        <w:trPr/>
        <w:tc>
          <w:tcPr>
            <w:tcW w:w="15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AED-03</w:t>
            </w:r>
          </w:p>
        </w:tc>
        <w:tc>
          <w:tcPr>
            <w:tcW w:w="77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Agri-Energy Desk User Manual — role-differentiated instructions with screenshots from the running system</w:t>
            </w:r>
          </w:p>
        </w:tc>
      </w:tr>
      <w:tr>
        <w:trPr/>
        <w:tc>
          <w:tcPr>
            <w:tcW w:w="1599"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AED-04</w:t>
            </w:r>
          </w:p>
        </w:tc>
        <w:tc>
          <w:tcPr>
            <w:tcW w:w="7760"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Final Consultancy Report — this document</w:t>
            </w:r>
          </w:p>
        </w:tc>
      </w:tr>
    </w:tbl>
    <w:p>
      <w:pPr>
        <w:pStyle w:val="Normal"/>
        <w:spacing w:before="0" w:after="200"/>
        <w:rPr/>
      </w:pPr>
      <w:r>
        <w:rPr/>
      </w:r>
    </w:p>
    <w:p>
      <w:pPr>
        <w:pStyle w:val="Heading2"/>
        <w:rPr/>
      </w:pPr>
      <w:r>
        <w:rPr/>
        <w:t>Appendix B — System facts as at 29 September 2026</w:t>
      </w:r>
    </w:p>
    <w:tbl>
      <w:tblPr>
        <w:tblW w:w="9360" w:type="dxa"/>
        <w:jc w:val="left"/>
        <w:tblInd w:w="0" w:type="dxa"/>
        <w:tblLayout w:type="fixed"/>
        <w:tblCellMar>
          <w:top w:w="80" w:type="dxa"/>
          <w:left w:w="110" w:type="dxa"/>
          <w:bottom w:w="80" w:type="dxa"/>
          <w:right w:w="110" w:type="dxa"/>
        </w:tblCellMar>
      </w:tblPr>
      <w:tblGrid>
        <w:gridCol w:w="4000"/>
        <w:gridCol w:w="5359"/>
      </w:tblGrid>
      <w:tr>
        <w:trPr>
          <w:tblHeader w:val="true"/>
        </w:trPr>
        <w:tc>
          <w:tcPr>
            <w:tcW w:w="4000"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Measure</w:t>
            </w:r>
          </w:p>
        </w:tc>
        <w:tc>
          <w:tcPr>
            <w:tcW w:w="5359"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Value</w:t>
            </w:r>
          </w:p>
        </w:tc>
      </w:tr>
      <w:tr>
        <w:trPr/>
        <w:tc>
          <w:tcPr>
            <w:tcW w:w="40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Database tables</w:t>
            </w:r>
          </w:p>
        </w:tc>
        <w:tc>
          <w:tcPr>
            <w:tcW w:w="5359"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39</w:t>
            </w:r>
          </w:p>
        </w:tc>
      </w:tr>
      <w:tr>
        <w:trPr/>
        <w:tc>
          <w:tcPr>
            <w:tcW w:w="40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Migrations</w:t>
            </w:r>
          </w:p>
        </w:tc>
        <w:tc>
          <w:tcPr>
            <w:tcW w:w="5359"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34</w:t>
            </w:r>
          </w:p>
        </w:tc>
      </w:tr>
      <w:tr>
        <w:trPr/>
        <w:tc>
          <w:tcPr>
            <w:tcW w:w="40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Declared foreign keys</w:t>
            </w:r>
          </w:p>
        </w:tc>
        <w:tc>
          <w:tcPr>
            <w:tcW w:w="5359"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32</w:t>
            </w:r>
          </w:p>
        </w:tc>
      </w:tr>
      <w:tr>
        <w:trPr/>
        <w:tc>
          <w:tcPr>
            <w:tcW w:w="40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API routes</w:t>
            </w:r>
          </w:p>
        </w:tc>
        <w:tc>
          <w:tcPr>
            <w:tcW w:w="5359"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105 (103 under /api/v1)</w:t>
            </w:r>
          </w:p>
        </w:tc>
      </w:tr>
      <w:tr>
        <w:trPr/>
        <w:tc>
          <w:tcPr>
            <w:tcW w:w="40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Publishable content entities</w:t>
            </w:r>
          </w:p>
        </w:tc>
        <w:tc>
          <w:tcPr>
            <w:tcW w:w="5359"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9</w:t>
            </w:r>
          </w:p>
        </w:tc>
      </w:tr>
      <w:tr>
        <w:trPr/>
        <w:tc>
          <w:tcPr>
            <w:tcW w:w="40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Many-to-many association tables</w:t>
            </w:r>
          </w:p>
        </w:tc>
        <w:tc>
          <w:tcPr>
            <w:tcW w:w="5359"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8</w:t>
            </w:r>
          </w:p>
        </w:tc>
      </w:tr>
      <w:tr>
        <w:trPr/>
        <w:tc>
          <w:tcPr>
            <w:tcW w:w="40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Roles</w:t>
            </w:r>
          </w:p>
        </w:tc>
        <w:tc>
          <w:tcPr>
            <w:tcW w:w="5359"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9 (6 platform, 3 organisation-scoped)</w:t>
            </w:r>
          </w:p>
        </w:tc>
      </w:tr>
      <w:tr>
        <w:trPr/>
        <w:tc>
          <w:tcPr>
            <w:tcW w:w="40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Workflow states</w:t>
            </w:r>
          </w:p>
        </w:tc>
        <w:tc>
          <w:tcPr>
            <w:tcW w:w="5359"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8</w:t>
            </w:r>
          </w:p>
        </w:tc>
      </w:tr>
      <w:tr>
        <w:trPr/>
        <w:tc>
          <w:tcPr>
            <w:tcW w:w="40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Reports</w:t>
            </w:r>
          </w:p>
        </w:tc>
        <w:tc>
          <w:tcPr>
            <w:tcW w:w="5359"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8, each exportable as PDF and Excel</w:t>
            </w:r>
          </w:p>
        </w:tc>
      </w:tr>
      <w:tr>
        <w:trPr/>
        <w:tc>
          <w:tcPr>
            <w:tcW w:w="40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Automated backend tests</w:t>
            </w:r>
          </w:p>
        </w:tc>
        <w:tc>
          <w:tcPr>
            <w:tcW w:w="5359"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147 across 11 classes (144 passing)</w:t>
            </w:r>
          </w:p>
        </w:tc>
      </w:tr>
      <w:tr>
        <w:trPr/>
        <w:tc>
          <w:tcPr>
            <w:tcW w:w="4000"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Interface languages</w:t>
            </w:r>
          </w:p>
        </w:tc>
        <w:tc>
          <w:tcPr>
            <w:tcW w:w="5359"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3 (English, French, Kiswahili)</w:t>
            </w:r>
          </w:p>
        </w:tc>
      </w:tr>
    </w:tbl>
    <w:p>
      <w:pPr>
        <w:pStyle w:val="Normal"/>
        <w:spacing w:before="0" w:after="200"/>
        <w:rPr/>
      </w:pPr>
      <w:r>
        <w:rPr/>
      </w:r>
    </w:p>
    <w:p>
      <w:pPr>
        <w:pStyle w:val="Normal"/>
        <w:rPr/>
      </w:pPr>
      <w:r>
        <w:rPr>
          <w:i/>
          <w:iCs/>
        </w:rPr>
        <w:t>All figures are counts taken from the system on that date and will change as the platform develops.</w:t>
      </w:r>
    </w:p>
    <w:p>
      <w:pPr>
        <w:pStyle w:val="Heading2"/>
        <w:rPr/>
      </w:pPr>
      <w:r>
        <w:rPr/>
        <w:t>Appendix C — Source notes</w:t>
      </w:r>
    </w:p>
    <w:p>
      <w:pPr>
        <w:pStyle w:val="Normal"/>
        <w:rPr/>
      </w:pPr>
      <w:r>
        <w:rPr/>
        <w:t>This report was compiled by direct inspection of the Software Requirements Specification Version 2.0; the application source in api/ and UI/; the live PostgreSQL schema; the automated test suite, executed in full; the running application; and the twelve consultancy deliverable documents in docs/.</w:t>
      </w:r>
    </w:p>
    <w:p>
      <w:pPr>
        <w:pStyle w:val="Normal"/>
        <w:widowControl/>
        <w:bidi w:val="0"/>
        <w:spacing w:lineRule="exact" w:line="276" w:before="0" w:after="120"/>
        <w:jc w:val="left"/>
        <w:rPr/>
      </w:pPr>
      <w:r>
        <w:rPr/>
        <w:t>Where a position could not be confirmed from the project artefacts — notably the delivery of training sessions and the backup configuration in NREP's production environment — it is identified as requiring confirmation rather than asserted.</w:t>
      </w:r>
    </w:p>
    <w:sectPr>
      <w:headerReference w:type="default" r:id="rId2"/>
      <w:headerReference w:type="first" r:id="rId3"/>
      <w:footerReference w:type="default" r:id="rId4"/>
      <w:footerReference w:type="first" r:id="rId5"/>
      <w:type w:val="nextPage"/>
      <w:pgSz w:w="11906" w:h="16838"/>
      <w:pgMar w:left="1250" w:right="1250" w:gutter="0" w:header="708" w:top="1250" w:footer="708" w:bottom="1250"/>
      <w:pgNumType w:fmt="decimal"/>
      <w:formProt w:val="false"/>
      <w:titlePg/>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8D6CE"/>
      </w:pBdr>
      <w:tabs>
        <w:tab w:val="clear" w:pos="720"/>
        <w:tab w:val="right" w:pos="9360" w:leader="none"/>
      </w:tabs>
      <w:spacing w:before="0" w:after="120"/>
      <w:rPr/>
    </w:pPr>
    <w:r>
      <w:rPr>
        <w:color w:val="5A5A5A"/>
        <w:sz w:val="16"/>
        <w:szCs w:val="16"/>
      </w:rPr>
      <w:t>AED-04  ·  Version 1.0  ·  Prepared for NREP</w:t>
      <w:tab/>
      <w:t xml:space="preserve">Page </w:t>
    </w:r>
    <w:r>
      <w:rPr/>
      <w:fldChar w:fldCharType="begin"/>
    </w:r>
    <w:r>
      <w:rPr/>
      <w:instrText xml:space="preserve"> PAGE </w:instrText>
    </w:r>
    <w:r>
      <w:rPr/>
      <w:fldChar w:fldCharType="separate"/>
    </w:r>
    <w:r>
      <w:rPr/>
      <w:t>19</w:t>
    </w:r>
    <w:r>
      <w:rPr/>
      <w:fldChar w:fldCharType="end"/>
    </w:r>
    <w:r>
      <w:rPr>
        <w:color w:val="5A5A5A"/>
        <w:sz w:val="16"/>
        <w:szCs w:val="16"/>
      </w:rPr>
      <w:t xml:space="preserve"> of </w:t>
    </w:r>
    <w:r>
      <w:rPr/>
      <w:fldChar w:fldCharType="begin"/>
    </w:r>
    <w:r>
      <w:rPr/>
      <w:instrText xml:space="preserve"> NUMPAGES </w:instrText>
    </w:r>
    <w:r>
      <w:rPr/>
      <w:fldChar w:fldCharType="separate"/>
    </w:r>
    <w:r>
      <w:rPr/>
      <w:t>19</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exact" w:line="276" w:before="0" w:after="12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C8D6CE"/>
      </w:pBdr>
      <w:tabs>
        <w:tab w:val="clear" w:pos="720"/>
        <w:tab w:val="right" w:pos="9360" w:leader="none"/>
      </w:tabs>
      <w:spacing w:before="0" w:after="0"/>
      <w:rPr/>
    </w:pPr>
    <w:r>
      <w:rPr>
        <w:color w:val="5A5A5A"/>
        <w:sz w:val="17"/>
        <w:szCs w:val="17"/>
      </w:rPr>
      <w:t>Agri-Energy Desk Digital Platform</w:t>
    </w:r>
    <w:r>
      <w:rPr>
        <w:b/>
        <w:bCs/>
        <w:color w:val="1B6B45"/>
        <w:sz w:val="17"/>
        <w:szCs w:val="17"/>
      </w:rPr>
      <w:tab/>
      <w:t>Final Consultancy Report</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exact" w:line="276" w:before="0" w:after="12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60" w:hanging="240"/>
      </w:pPr>
      <w:rPr>
        <w:rFonts w:ascii="Symbol" w:hAnsi="Symbol" w:cs="Symbol" w:hint="default"/>
      </w:rPr>
    </w:lvl>
    <w:lvl w:ilvl="1">
      <w:start w:val="1"/>
      <w:numFmt w:val="bullet"/>
      <w:lvlText w:val=""/>
      <w:lvlJc w:val="left"/>
      <w:pPr>
        <w:tabs>
          <w:tab w:val="num" w:pos="0"/>
        </w:tabs>
        <w:ind w:left="900" w:hanging="24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460" w:hanging="2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1"/>
        <w:szCs w:val="21"/>
        <w:lang w:val="en-US" w:eastAsia="zh-CN" w:bidi="hi-IN"/>
      </w:rPr>
    </w:rPrDefault>
    <w:pPrDefault>
      <w:pPr>
        <w:suppressAutoHyphens w:val="true"/>
      </w:pPr>
    </w:pPrDefault>
  </w:docDefaults>
  <w:style w:type="paragraph" w:styleId="Normal" w:default="1">
    <w:name w:val="Normal"/>
    <w:qFormat/>
    <w:pPr>
      <w:widowControl/>
      <w:bidi w:val="0"/>
      <w:spacing w:lineRule="exact" w:line="276" w:before="0" w:after="120"/>
      <w:jc w:val="left"/>
    </w:pPr>
    <w:rPr>
      <w:rFonts w:ascii="Calibri" w:hAnsi="Calibri" w:eastAsia="Calibri" w:cs="Calibri"/>
      <w:color w:val="1A1A1A"/>
      <w:kern w:val="0"/>
      <w:sz w:val="21"/>
      <w:szCs w:val="21"/>
      <w:lang w:val="en-US" w:eastAsia="zh-CN" w:bidi="hi-IN"/>
    </w:rPr>
  </w:style>
  <w:style w:type="paragraph" w:styleId="Heading1">
    <w:name w:val="Heading 1"/>
    <w:basedOn w:val="Normal"/>
    <w:next w:val="Normal"/>
    <w:qFormat/>
    <w:pPr>
      <w:pBdr>
        <w:bottom w:val="single" w:sz="6" w:space="6" w:color="C8D6CE"/>
      </w:pBdr>
      <w:spacing w:before="360" w:after="160"/>
      <w:outlineLvl w:val="0"/>
    </w:pPr>
    <w:rPr>
      <w:rFonts w:ascii="Calibri" w:hAnsi="Calibri" w:eastAsia="Calibri" w:cs="Calibri"/>
      <w:b/>
      <w:bCs/>
      <w:color w:val="1B6B45"/>
      <w:sz w:val="30"/>
      <w:szCs w:val="30"/>
    </w:rPr>
  </w:style>
  <w:style w:type="paragraph" w:styleId="Heading2">
    <w:name w:val="Heading 2"/>
    <w:basedOn w:val="Normal"/>
    <w:next w:val="Normal"/>
    <w:qFormat/>
    <w:pPr>
      <w:spacing w:before="280" w:after="120"/>
      <w:outlineLvl w:val="1"/>
    </w:pPr>
    <w:rPr>
      <w:rFonts w:ascii="Calibri" w:hAnsi="Calibri" w:eastAsia="Calibri" w:cs="Calibri"/>
      <w:b/>
      <w:bCs/>
      <w:color w:val="1A1A1A"/>
      <w:sz w:val="25"/>
      <w:szCs w:val="25"/>
    </w:rPr>
  </w:style>
  <w:style w:type="paragraph" w:styleId="Heading3">
    <w:name w:val="Heading 3"/>
    <w:basedOn w:val="Normal"/>
    <w:next w:val="Normal"/>
    <w:qFormat/>
    <w:pPr>
      <w:spacing w:before="220" w:after="100"/>
      <w:outlineLvl w:val="2"/>
    </w:pPr>
    <w:rPr>
      <w:rFonts w:ascii="Calibri" w:hAnsi="Calibri" w:eastAsia="Calibri" w:cs="Calibri"/>
      <w:b/>
      <w:bCs/>
      <w:color w:val="1B6B45"/>
      <w:sz w:val="22"/>
      <w:szCs w:val="22"/>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next w:val="Normal"/>
    <w:qFormat/>
    <w:pPr>
      <w:spacing w:before="60" w:after="240"/>
      <w:jc w:val="center"/>
    </w:pPr>
    <w:rPr>
      <w:rFonts w:ascii="Calibri" w:hAnsi="Calibri" w:eastAsia="Calibri" w:cs="Calibri"/>
      <w:i/>
      <w:iCs/>
      <w:color w:val="5A5A5A"/>
      <w:sz w:val="18"/>
      <w:szCs w:val="18"/>
    </w:rPr>
  </w:style>
  <w:style w:type="paragraph" w:styleId="Index">
    <w:name w:val="Index"/>
    <w:basedOn w:val="Normal"/>
    <w:qFormat/>
    <w:pPr>
      <w:suppressLineNumbers/>
    </w:pPr>
    <w:rPr>
      <w:rFonts w:cs="Lohit Devanagari"/>
    </w:rPr>
  </w:style>
  <w:style w:type="paragraph" w:styleId="Strong">
    <w:name w:val="Strong"/>
    <w:basedOn w:val="Normal"/>
    <w:next w:val="Normal"/>
    <w:qFormat/>
    <w:pPr/>
    <w:rPr>
      <w:b/>
      <w:bCs/>
    </w:rPr>
  </w:style>
  <w:style w:type="paragraph" w:styleId="ListParagraph">
    <w:name w:val="List Paragraph"/>
    <w:basedOn w:val="Normal"/>
    <w:qFormat/>
    <w:pPr/>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Title">
    <w:name w:val="Title"/>
    <w:basedOn w:val="Normal"/>
    <w:next w:val="Normal"/>
    <w:qFormat/>
    <w:pPr>
      <w:spacing w:lineRule="exact" w:line="640" w:before="0" w:after="160"/>
    </w:pPr>
    <w:rPr>
      <w:rFonts w:ascii="Calibri" w:hAnsi="Calibri" w:eastAsia="Calibri" w:cs="Calibri"/>
      <w:b/>
      <w:bCs/>
      <w:color w:val="1B6B45"/>
      <w:sz w:val="56"/>
      <w:szCs w:val="56"/>
    </w:rPr>
  </w:style>
  <w:style w:type="paragraph" w:styleId="Subtitle">
    <w:name w:val="Subtitle"/>
    <w:basedOn w:val="Normal"/>
    <w:next w:val="Normal"/>
    <w:qFormat/>
    <w:pPr>
      <w:spacing w:before="0" w:after="400"/>
    </w:pPr>
    <w:rPr>
      <w:rFonts w:ascii="Calibri" w:hAnsi="Calibri" w:eastAsia="Calibri" w:cs="Calibri"/>
      <w:color w:val="5A5A5A"/>
      <w:sz w:val="26"/>
      <w:szCs w:val="26"/>
    </w:rPr>
  </w:style>
  <w:style w:type="paragraph" w:styleId="TableText">
    <w:name w:val="Table Text"/>
    <w:basedOn w:val="Normal"/>
    <w:next w:val="Normal"/>
    <w:qFormat/>
    <w:pPr>
      <w:spacing w:lineRule="exact" w:line="240" w:before="40" w:after="40"/>
    </w:pPr>
    <w:rPr>
      <w:rFonts w:ascii="Calibri" w:hAnsi="Calibri" w:eastAsia="Calibri" w:cs="Calibri"/>
      <w:sz w:val="19"/>
      <w:szCs w:val="19"/>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19</Pages>
  <Words>5464</Words>
  <Characters>32529</Characters>
  <CharactersWithSpaces>37467</CharactersWithSpaces>
  <Paragraphs>514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2026-09-29T11:36:00Z</dcterms:created>
  <dc:creator>Agri-Energy Desk Consultancy</dc:creator>
  <dc:description>An account of the consultancy engagement and the delivered Agri-Energy Desk Digital Platform</dc:description>
  <dc:language>en-US</dc:language>
  <cp:lastModifiedBy/>
  <dcterms:modified xsi:type="dcterms:W3CDTF">2026-09-29T14:47:18Z</dcterms:modified>
  <cp:revision>2</cp:revision>
  <dc:subject/>
  <dc:title>Final Consultancy Report</dc:title>
</cp:coreProperties>
</file>